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B7318">
      <w:pPr>
        <w:jc w:val="right"/>
        <w:rPr>
          <w:sz w:val="28"/>
          <w:szCs w:val="28"/>
        </w:rPr>
      </w:pPr>
    </w:p>
    <w:p w14:paraId="3C85A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2026 год.</w:t>
      </w:r>
    </w:p>
    <w:p w14:paraId="736A325A">
      <w:pPr>
        <w:ind w:firstLine="567"/>
        <w:jc w:val="both"/>
        <w:rPr>
          <w:sz w:val="28"/>
          <w:szCs w:val="28"/>
        </w:rPr>
      </w:pPr>
    </w:p>
    <w:p w14:paraId="5CB515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статьей 44</w:t>
      </w:r>
      <w:r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теплоснабжения.</w:t>
      </w:r>
    </w:p>
    <w:p w14:paraId="4B180AB3">
      <w:pPr>
        <w:jc w:val="center"/>
        <w:rPr>
          <w:b/>
          <w:sz w:val="28"/>
          <w:szCs w:val="28"/>
        </w:rPr>
      </w:pPr>
    </w:p>
    <w:p w14:paraId="36AC08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 контрольно (надзорного) органа, характеристика проблем, на решение которых направлена программа профилактики.</w:t>
      </w:r>
    </w:p>
    <w:p w14:paraId="6487B004">
      <w:pPr>
        <w:ind w:firstLine="567"/>
        <w:jc w:val="both"/>
        <w:rPr>
          <w:sz w:val="28"/>
          <w:szCs w:val="28"/>
        </w:rPr>
      </w:pPr>
    </w:p>
    <w:p w14:paraId="3F8C0D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Вид муниципального контроля: муниципальный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теплоснабжения.</w:t>
      </w:r>
    </w:p>
    <w:p w14:paraId="7507D4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Предметом муниципального контроля за исполнением единой теплоснабжающей организацией обязательств является соблюдение теплоснабжающей организацией в процессе реализации мероприятий по строительству, реконструкции и (или) модернизации объектов теплоснабжения в муниципальном образовании «Северо-Байкальский район», необходимых для развития, обеспечения </w:t>
      </w:r>
      <w:r>
        <w:rPr>
          <w:sz w:val="28"/>
          <w:szCs w:val="28"/>
          <w:lang w:val="ru-RU"/>
        </w:rPr>
        <w:t>надёжности</w:t>
      </w:r>
      <w:r>
        <w:rPr>
          <w:sz w:val="28"/>
          <w:szCs w:val="28"/>
        </w:rPr>
        <w:t xml:space="preserve"> и энергетической эффективности системы теплоснабжения и </w:t>
      </w:r>
      <w:r>
        <w:rPr>
          <w:sz w:val="28"/>
          <w:szCs w:val="28"/>
          <w:lang w:val="ru-RU"/>
        </w:rPr>
        <w:t>определённых</w:t>
      </w:r>
      <w:r>
        <w:rPr>
          <w:sz w:val="28"/>
          <w:szCs w:val="28"/>
        </w:rPr>
        <w:t xml:space="preserve"> для </w:t>
      </w:r>
      <w:r>
        <w:rPr>
          <w:sz w:val="28"/>
          <w:szCs w:val="28"/>
          <w:lang w:val="ru-RU"/>
        </w:rPr>
        <w:t>неё</w:t>
      </w:r>
      <w:r>
        <w:rPr>
          <w:sz w:val="28"/>
          <w:szCs w:val="28"/>
        </w:rPr>
        <w:t xml:space="preserve"> в схеме теплоснабжения, требований Федерального закона 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14:paraId="38D509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Объектами муниципального контроля за исполнением единой теплоснабжающей организацией обязательств являются:</w:t>
      </w:r>
    </w:p>
    <w:p w14:paraId="173EAF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деятельность, действия (бездействие) теплоснабжающей организации (далее также – контролируемое лицо) по исполнению обязательств, в рамках которых должны соблюдаться обязательные требования, указанные в части 3 статьи 23.7 Федерального закона от 27.07.2010 № 190-ФЗ «О теплоснабжении»,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</w:t>
      </w:r>
      <w:r>
        <w:rPr>
          <w:sz w:val="28"/>
          <w:szCs w:val="28"/>
          <w:lang w:val="ru-RU"/>
        </w:rPr>
        <w:t>надёжности</w:t>
      </w:r>
      <w:r>
        <w:rPr>
          <w:sz w:val="28"/>
          <w:szCs w:val="28"/>
        </w:rPr>
        <w:t xml:space="preserve"> и энергетической эффективности системы теплоснабжения, </w:t>
      </w:r>
      <w:r>
        <w:rPr>
          <w:sz w:val="28"/>
          <w:szCs w:val="28"/>
          <w:lang w:val="ru-RU"/>
        </w:rPr>
        <w:t>определённые</w:t>
      </w:r>
      <w:r>
        <w:rPr>
          <w:sz w:val="28"/>
          <w:szCs w:val="28"/>
        </w:rPr>
        <w:t xml:space="preserve"> для </w:t>
      </w:r>
      <w:r>
        <w:rPr>
          <w:sz w:val="28"/>
          <w:szCs w:val="28"/>
          <w:lang w:val="ru-RU"/>
        </w:rPr>
        <w:t>неё</w:t>
      </w:r>
      <w:r>
        <w:rPr>
          <w:sz w:val="28"/>
          <w:szCs w:val="28"/>
        </w:rPr>
        <w:t xml:space="preserve"> в схеме теплоснабжения в соответствии с перечнем и сроками, указанными в схеме теплоснабжения; </w:t>
      </w:r>
    </w:p>
    <w:p w14:paraId="409F9C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указанные в части 3 статьи 23.7 Федерального закона от 27.07.2010 № 190-ФЗ «О теплоснабжении»; </w:t>
      </w:r>
    </w:p>
    <w:p w14:paraId="3CDDDF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 (далее – производственные объекты), к которым предъявляются обязательные требования, указанные в части 3 статьи 23.7 Федерального закона от 27.07.2010 № 190-ФЗ «О теплоснабжении». </w:t>
      </w:r>
    </w:p>
    <w:p w14:paraId="78AC0C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Подконтрольные субъекты: - граждане и организации, указанные в части 1 статьи 31 Федерального закона от 31.07.2020 №248-ФЗ (О государственном контроле (надзоре) и муниципальном контроле в Российской Федерации),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контролю.</w:t>
      </w:r>
    </w:p>
    <w:p w14:paraId="2D12CC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 Текущее развитие профилактической деятельности контрольного органа. Фактически на территории муниципального образования «Северо-Байкальский район» муниципальный контроль за исполнением теплоснабжающей организацией обязательств по строительству, реконструкции и (или) модернизации объектов теплоснабжения системно не осуществлялся в связи ограничениями, введенными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14:paraId="6260D6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Характеристика проблем, на решение которых направлена программа профилактики. Программа направлена на решение проблем по недопущению нарушений теплоснабжающей организацией в процессе реализации мероприятий по строительству, реконструкции и (или) модернизации объектов теплоснабжения, необходимых для развития, обеспечения надёжности и энергетической эффективности системы теплоснабжения и определённых для неё в схеме теплоснабжения, требований Федерального закона № 190-ФЗ от 27.07.2010 «О теплоснабжении» и принятых в соответствии с ним иных нормативных правовых актов, в том числе, соответствие таких реализуемых мероприятий схеме теплоснабжения.</w:t>
      </w:r>
    </w:p>
    <w:p w14:paraId="4BB6AC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Ответственным структурным подразделением является отдел по муниципальному контролю Администрации муниципального образования «Северо-Байкальский район». </w:t>
      </w:r>
    </w:p>
    <w:p w14:paraId="6768170E">
      <w:pPr>
        <w:spacing w:before="0" w:after="0"/>
        <w:ind w:firstLine="567"/>
        <w:contextualSpacing/>
        <w:jc w:val="both"/>
        <w:rPr>
          <w:sz w:val="28"/>
          <w:szCs w:val="28"/>
        </w:rPr>
      </w:pPr>
    </w:p>
    <w:p w14:paraId="55B85881">
      <w:pPr>
        <w:pStyle w:val="2"/>
        <w:ind w:firstLine="567"/>
        <w:jc w:val="center"/>
        <w:rPr>
          <w:b/>
          <w:szCs w:val="28"/>
        </w:rPr>
      </w:pPr>
      <w:bookmarkStart w:id="0" w:name="sub_1200"/>
      <w:bookmarkEnd w:id="0"/>
      <w:r>
        <w:rPr>
          <w:b/>
          <w:szCs w:val="28"/>
        </w:rPr>
        <w:t>РАЗДЕЛ 2. Цели и задачи реализации программы профилактики</w:t>
      </w:r>
    </w:p>
    <w:p w14:paraId="3FD07211">
      <w:pPr>
        <w:ind w:firstLine="567"/>
        <w:rPr>
          <w:sz w:val="28"/>
          <w:szCs w:val="28"/>
        </w:rPr>
      </w:pPr>
    </w:p>
    <w:p w14:paraId="37C48424">
      <w:pPr>
        <w:widowControl w:val="0"/>
        <w:spacing w:before="0" w:after="0"/>
        <w:ind w:firstLine="567"/>
        <w:contextualSpacing/>
        <w:jc w:val="both"/>
        <w:rPr>
          <w:sz w:val="28"/>
          <w:szCs w:val="28"/>
        </w:rPr>
      </w:pPr>
      <w:bookmarkStart w:id="1" w:name="sub_1200_Копия_1"/>
      <w:bookmarkEnd w:id="1"/>
      <w:bookmarkStart w:id="2" w:name="sub_1005"/>
      <w:r>
        <w:rPr>
          <w:sz w:val="28"/>
          <w:szCs w:val="28"/>
        </w:rPr>
        <w:t>Целями реализации Программы являются:</w:t>
      </w:r>
      <w:bookmarkEnd w:id="2"/>
    </w:p>
    <w:p w14:paraId="5A4C55F8">
      <w:pPr>
        <w:widowControl w:val="0"/>
        <w:spacing w:before="0"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контролируемым лицом;</w:t>
      </w:r>
    </w:p>
    <w:p w14:paraId="20EDA6A3">
      <w:pPr>
        <w:widowControl w:val="0"/>
        <w:spacing w:before="0"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теплоснабжающей организации;</w:t>
      </w:r>
    </w:p>
    <w:p w14:paraId="0D63DB35">
      <w:pPr>
        <w:widowControl w:val="0"/>
        <w:spacing w:before="0"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контролируемого лица, повышение информированности о способах их соблюдения.</w:t>
      </w:r>
    </w:p>
    <w:p w14:paraId="64C09113">
      <w:pPr>
        <w:widowControl w:val="0"/>
        <w:spacing w:before="0"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Задачами реализации Программы являются:</w:t>
      </w:r>
    </w:p>
    <w:p w14:paraId="26A91CEF">
      <w:pPr>
        <w:widowControl w:val="0"/>
        <w:spacing w:before="0"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теплоснабжающей организации;</w:t>
      </w:r>
    </w:p>
    <w:p w14:paraId="4DFBD96E">
      <w:pPr>
        <w:widowControl w:val="0"/>
        <w:spacing w:before="0"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правосознания и правовой культуры юридических лиц в сфере строительства, реконструкции и (или) модернизации объектов теплоснабжения;</w:t>
      </w:r>
    </w:p>
    <w:p w14:paraId="1C6940FD">
      <w:pPr>
        <w:widowControl w:val="0"/>
        <w:spacing w:before="0"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14:paraId="1DC96154">
      <w:pPr>
        <w:widowControl w:val="0"/>
        <w:spacing w:before="0" w:after="0"/>
        <w:ind w:firstLine="567"/>
        <w:contextualSpacing/>
        <w:jc w:val="both"/>
        <w:rPr>
          <w:sz w:val="28"/>
          <w:szCs w:val="28"/>
        </w:rPr>
      </w:pPr>
    </w:p>
    <w:p w14:paraId="473E9CF7">
      <w:pPr>
        <w:pStyle w:val="23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sub_1150"/>
      <w:bookmarkEnd w:id="3"/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РАЗДЕЛ 3. </w:t>
      </w:r>
      <w:r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14:paraId="7D5548AE">
      <w:pPr>
        <w:pStyle w:val="23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14:paraId="140EB246">
      <w:pPr>
        <w:pStyle w:val="23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1020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4967"/>
        <w:gridCol w:w="1617"/>
        <w:gridCol w:w="2919"/>
      </w:tblGrid>
      <w:tr w14:paraId="3F588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</w:tcPr>
          <w:p w14:paraId="73395BE6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4967" w:type="dxa"/>
          </w:tcPr>
          <w:p w14:paraId="72597A13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  <w:p w14:paraId="197A5F4E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профилактического мероприятия</w:t>
            </w:r>
          </w:p>
          <w:p w14:paraId="4E352541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2082E1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Срок</w:t>
            </w:r>
          </w:p>
          <w:p w14:paraId="2A04F920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реализации</w:t>
            </w:r>
          </w:p>
        </w:tc>
        <w:tc>
          <w:tcPr>
            <w:tcW w:w="2919" w:type="dxa"/>
          </w:tcPr>
          <w:p w14:paraId="1E57AC40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Ответственные должностные лица</w:t>
            </w:r>
          </w:p>
        </w:tc>
      </w:tr>
      <w:tr w14:paraId="1066C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</w:tcPr>
          <w:p w14:paraId="7FBA0C72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4967" w:type="dxa"/>
          </w:tcPr>
          <w:p w14:paraId="29864146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Информирование, посредством размещения (поддержания в актуальном состоянии) на официальном сайте органов местного самоуправления.</w:t>
            </w:r>
          </w:p>
          <w:p w14:paraId="3445D62D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A4E1D83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постоянно</w:t>
            </w:r>
          </w:p>
        </w:tc>
        <w:tc>
          <w:tcPr>
            <w:tcW w:w="2919" w:type="dxa"/>
          </w:tcPr>
          <w:p w14:paraId="5C87B237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364B831D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 w14:paraId="27283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</w:tcPr>
          <w:p w14:paraId="1C6E49FA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4967" w:type="dxa"/>
          </w:tcPr>
          <w:p w14:paraId="05BEEB1B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консультирование по вопросам соблюдения обязательных требований;</w:t>
            </w:r>
          </w:p>
          <w:p w14:paraId="6E4E4C23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17" w:type="dxa"/>
          </w:tcPr>
          <w:p w14:paraId="7250AE39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постоянно</w:t>
            </w:r>
          </w:p>
        </w:tc>
        <w:tc>
          <w:tcPr>
            <w:tcW w:w="2919" w:type="dxa"/>
          </w:tcPr>
          <w:p w14:paraId="79FECFCF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1CAFE645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 w14:paraId="062A9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</w:tcPr>
          <w:p w14:paraId="25217786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4967" w:type="dxa"/>
          </w:tcPr>
          <w:p w14:paraId="09325E40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доклада о муниципальном контроле</w:t>
            </w: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за исполнением теплоснабжающей организацией обязательств по строительству, реконструкции и (или) модернизации объектов теплоснабжения.</w:t>
            </w:r>
          </w:p>
        </w:tc>
        <w:tc>
          <w:tcPr>
            <w:tcW w:w="1617" w:type="dxa"/>
          </w:tcPr>
          <w:p w14:paraId="28C7D32B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До 202</w:t>
            </w:r>
            <w:r>
              <w:rPr>
                <w:rFonts w:hint="default"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7</w:t>
            </w: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 xml:space="preserve"> года</w:t>
            </w:r>
          </w:p>
        </w:tc>
        <w:tc>
          <w:tcPr>
            <w:tcW w:w="2919" w:type="dxa"/>
          </w:tcPr>
          <w:p w14:paraId="2E9FBD37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5162B80F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eastAsia="Calibri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  <w:p w14:paraId="08A1AFAD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14:paraId="6D086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</w:tcPr>
          <w:p w14:paraId="576B6411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4967" w:type="dxa"/>
          </w:tcPr>
          <w:p w14:paraId="425DC44B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617" w:type="dxa"/>
          </w:tcPr>
          <w:p w14:paraId="5724D3F5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в течение года</w:t>
            </w:r>
          </w:p>
          <w:p w14:paraId="37A5BF6F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(при наличии оснований)</w:t>
            </w:r>
          </w:p>
          <w:p w14:paraId="44CA9A95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19" w:type="dxa"/>
          </w:tcPr>
          <w:p w14:paraId="3D88A0A6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1874EF20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 w14:paraId="5DB53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</w:tcPr>
          <w:p w14:paraId="5A03B159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4967" w:type="dxa"/>
          </w:tcPr>
          <w:p w14:paraId="6BC55BD7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Консультирование посредством видео-конференц-связи, на личном приёме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617" w:type="dxa"/>
          </w:tcPr>
          <w:p w14:paraId="1C5207DB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в течение года</w:t>
            </w:r>
          </w:p>
        </w:tc>
        <w:tc>
          <w:tcPr>
            <w:tcW w:w="2919" w:type="dxa"/>
          </w:tcPr>
          <w:p w14:paraId="728639F0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1574E032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 w14:paraId="3F1E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3" w:hRule="atLeast"/>
        </w:trPr>
        <w:tc>
          <w:tcPr>
            <w:tcW w:w="697" w:type="dxa"/>
          </w:tcPr>
          <w:p w14:paraId="174F7296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4967" w:type="dxa"/>
          </w:tcPr>
          <w:p w14:paraId="36969A80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Профилактический визит</w:t>
            </w:r>
            <w:r>
              <w:rPr>
                <w:rFonts w:ascii="Times New Roman" w:hAnsi="Times New Roman" w:eastAsia="Times New Roman" w:cs="Times New Roman"/>
                <w:b w:val="0"/>
                <w:kern w:val="0"/>
                <w:sz w:val="24"/>
                <w:szCs w:val="24"/>
                <w:lang w:val="ru-RU" w:bidi="ar-SA"/>
              </w:rPr>
              <w:t xml:space="preserve"> в целях </w:t>
            </w: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1617" w:type="dxa"/>
          </w:tcPr>
          <w:p w14:paraId="470477BD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1 раз в год</w:t>
            </w:r>
          </w:p>
        </w:tc>
        <w:tc>
          <w:tcPr>
            <w:tcW w:w="2919" w:type="dxa"/>
          </w:tcPr>
          <w:p w14:paraId="5E5F167B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088AE778">
            <w:pPr>
              <w:pStyle w:val="23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</w:tbl>
    <w:p w14:paraId="6BDA6A45">
      <w:pPr>
        <w:pStyle w:val="23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0F2F8F6">
      <w:pPr>
        <w:pStyle w:val="23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19FEABCF">
      <w:pPr>
        <w:pStyle w:val="23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912" w:type="dxa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6"/>
        <w:gridCol w:w="4503"/>
        <w:gridCol w:w="4823"/>
      </w:tblGrid>
      <w:tr w14:paraId="3D1BA2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20AFDF0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14:paraId="0680CF5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4503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7857F64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показателя</w:t>
            </w:r>
          </w:p>
        </w:tc>
        <w:tc>
          <w:tcPr>
            <w:tcW w:w="48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797D8ED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Величина</w:t>
            </w:r>
          </w:p>
        </w:tc>
      </w:tr>
      <w:tr w14:paraId="1CBE60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1" w:hRule="exac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18559307">
            <w:pPr>
              <w:ind w:firstLine="567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57D4AFBE">
            <w:pPr>
              <w:pStyle w:val="15"/>
              <w:ind w:left="119" w:right="111" w:firstLine="142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размещённой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8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5481C0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14:paraId="795EB0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27" w:hRule="exac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11D04EF6">
            <w:pPr>
              <w:ind w:firstLine="567"/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65C71B86">
            <w:pPr>
              <w:ind w:left="119" w:right="111" w:firstLine="142"/>
              <w:jc w:val="both"/>
              <w:rPr>
                <w:szCs w:val="24"/>
              </w:rPr>
            </w:pPr>
            <w:r>
              <w:rPr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04BA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14:paraId="641FF3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77E697CE">
            <w:pPr>
              <w:widowControl w:val="0"/>
              <w:spacing w:line="230" w:lineRule="exact"/>
              <w:ind w:left="220"/>
              <w:rPr>
                <w:color w:val="000000"/>
                <w:szCs w:val="24"/>
                <w:shd w:val="clear" w:fill="FFFFFF"/>
              </w:rPr>
            </w:pPr>
          </w:p>
          <w:p w14:paraId="656C95E0">
            <w:pPr>
              <w:widowControl w:val="0"/>
              <w:spacing w:line="230" w:lineRule="exact"/>
              <w:ind w:left="220"/>
              <w:rPr>
                <w:szCs w:val="24"/>
              </w:rPr>
            </w:pPr>
            <w:r>
              <w:rPr>
                <w:color w:val="000000"/>
                <w:szCs w:val="24"/>
                <w:shd w:val="clear" w:fill="FFFFFF"/>
              </w:rPr>
              <w:t>3.</w:t>
            </w:r>
          </w:p>
        </w:tc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5E2F326E">
            <w:pPr>
              <w:widowControl w:val="0"/>
              <w:spacing w:line="274" w:lineRule="exact"/>
              <w:ind w:left="119" w:right="111" w:firstLine="142"/>
              <w:jc w:val="both"/>
              <w:rPr>
                <w:szCs w:val="24"/>
              </w:rPr>
            </w:pPr>
            <w:r>
              <w:rPr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10AA15A4">
            <w:pPr>
              <w:widowControl w:val="0"/>
              <w:spacing w:line="274" w:lineRule="exact"/>
              <w:ind w:firstLine="440"/>
              <w:jc w:val="both"/>
              <w:rPr>
                <w:szCs w:val="24"/>
              </w:rPr>
            </w:pPr>
          </w:p>
        </w:tc>
        <w:tc>
          <w:tcPr>
            <w:tcW w:w="4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EAA0E4">
            <w:pPr>
              <w:widowControl w:val="0"/>
              <w:spacing w:line="277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</w:tbl>
    <w:p w14:paraId="498DC4BF">
      <w:pPr>
        <w:shd w:val="clear" w:color="auto" w:fill="FFFFFF"/>
        <w:spacing w:before="0" w:after="0"/>
        <w:ind w:firstLine="567"/>
        <w:contextualSpacing/>
        <w:jc w:val="both"/>
        <w:rPr>
          <w:rFonts w:eastAsia="Lucida Sans Unicode"/>
          <w:kern w:val="2"/>
          <w:sz w:val="28"/>
          <w:szCs w:val="28"/>
        </w:rPr>
      </w:pPr>
      <w:bookmarkStart w:id="4" w:name="sub_1150_Копия_1"/>
      <w:bookmarkEnd w:id="4"/>
    </w:p>
    <w:p w14:paraId="4BC41C82">
      <w:pPr>
        <w:shd w:val="clear" w:color="auto" w:fill="FFFFFF"/>
        <w:spacing w:before="0" w:after="0"/>
        <w:ind w:firstLine="567"/>
        <w:contextualSpacing/>
        <w:jc w:val="both"/>
        <w:rPr>
          <w:b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Результатом выполнения профилактических мероприятий, предусмотренных</w:t>
      </w:r>
      <w:r>
        <w:rPr>
          <w:sz w:val="28"/>
          <w:szCs w:val="28"/>
        </w:rPr>
        <w:t xml:space="preserve"> программой профилактики рисков причинения вреда (ущерба) охраняемым законом ценностям при осуществлении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теплоснабжения»</w:t>
      </w:r>
      <w:r>
        <w:rPr>
          <w:rFonts w:ascii="yandex-sans" w:hAnsi="yandex-sans"/>
          <w:color w:val="000000" w:themeColor="text1"/>
          <w:sz w:val="28"/>
          <w:szCs w:val="28"/>
        </w:rPr>
        <w:t xml:space="preserve"> </w:t>
      </w:r>
      <w:r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законодательства.</w:t>
      </w:r>
      <w:bookmarkStart w:id="5" w:name="_GoBack"/>
      <w:bookmarkEnd w:id="5"/>
    </w:p>
    <w:sectPr>
      <w:pgSz w:w="11906" w:h="16838"/>
      <w:pgMar w:top="1134" w:right="567" w:bottom="851" w:left="1134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roman"/>
    <w:pitch w:val="default"/>
    <w:sig w:usb0="E4002EFF" w:usb1="C000E47F" w:usb2="00000009" w:usb3="00000000" w:csb0="200001FF" w:csb1="00000000"/>
  </w:font>
  <w:font w:name="Mangal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yandex-sans">
    <w:altName w:val="AMGDT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1ADC0B92"/>
    <w:rsid w:val="1D6C51BE"/>
    <w:rsid w:val="25341BA4"/>
    <w:rsid w:val="30814744"/>
    <w:rsid w:val="338F118A"/>
    <w:rsid w:val="3E9C3E6B"/>
    <w:rsid w:val="5F035588"/>
    <w:rsid w:val="676B3584"/>
    <w:rsid w:val="723305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</w:rPr>
  </w:style>
  <w:style w:type="paragraph" w:styleId="6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">
    <w:name w:val="Body Text"/>
    <w:basedOn w:val="1"/>
    <w:qFormat/>
    <w:uiPriority w:val="0"/>
    <w:pPr>
      <w:spacing w:before="0" w:after="140" w:line="276" w:lineRule="auto"/>
    </w:pPr>
  </w:style>
  <w:style w:type="paragraph" w:styleId="9">
    <w:name w:val="index heading"/>
    <w:basedOn w:val="1"/>
    <w:qFormat/>
    <w:uiPriority w:val="0"/>
    <w:pPr>
      <w:suppressLineNumbers/>
    </w:pPr>
    <w:rPr>
      <w:rFonts w:cs="Arial"/>
    </w:rPr>
  </w:style>
  <w:style w:type="paragraph" w:styleId="10">
    <w:name w:val="Title"/>
    <w:basedOn w:val="1"/>
    <w:next w:val="8"/>
    <w:link w:val="13"/>
    <w:qFormat/>
    <w:uiPriority w:val="0"/>
    <w:pPr>
      <w:ind w:firstLine="2268"/>
      <w:jc w:val="center"/>
    </w:pPr>
    <w:rPr>
      <w:b/>
      <w:i/>
      <w:sz w:val="40"/>
    </w:rPr>
  </w:style>
  <w:style w:type="paragraph" w:styleId="11">
    <w:name w:val="List"/>
    <w:basedOn w:val="8"/>
    <w:qFormat/>
    <w:uiPriority w:val="0"/>
    <w:rPr>
      <w:rFonts w:cs="Arial"/>
    </w:rPr>
  </w:style>
  <w:style w:type="table" w:styleId="12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Заголовок Знак"/>
    <w:basedOn w:val="3"/>
    <w:link w:val="10"/>
    <w:qFormat/>
    <w:uiPriority w:val="0"/>
    <w:rPr>
      <w:rFonts w:ascii="Times New Roman" w:hAnsi="Times New Roman" w:eastAsia="Times New Roman" w:cs="Times New Roman"/>
      <w:b/>
      <w:i/>
      <w:sz w:val="40"/>
      <w:szCs w:val="20"/>
      <w:lang w:eastAsia="ru-RU"/>
    </w:rPr>
  </w:style>
  <w:style w:type="character" w:customStyle="1" w:styleId="14">
    <w:name w:val="ConsPlusNormal1"/>
    <w:link w:val="15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paragraph" w:customStyle="1" w:styleId="15">
    <w:name w:val="ConsPlusNormal"/>
    <w:link w:val="14"/>
    <w:qFormat/>
    <w:uiPriority w:val="0"/>
    <w:pPr>
      <w:widowControl/>
      <w:suppressAutoHyphens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character" w:customStyle="1" w:styleId="16">
    <w:name w:val="Заголовок 1 Знак"/>
    <w:basedOn w:val="3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7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8">
    <w:name w:val="Заголовок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9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20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21">
    <w:name w:val="caption11"/>
    <w:basedOn w:val="1"/>
    <w:qFormat/>
    <w:uiPriority w:val="0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22">
    <w:name w:val="Default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customStyle="1" w:styleId="23">
    <w:name w:val="ConsPlusTitle"/>
    <w:qFormat/>
    <w:uiPriority w:val="99"/>
    <w:pPr>
      <w:widowControl w:val="0"/>
      <w:suppressAutoHyphens/>
      <w:bidi w:val="0"/>
      <w:spacing w:before="0" w:after="0"/>
      <w:jc w:val="left"/>
    </w:pPr>
    <w:rPr>
      <w:rFonts w:cs="Calibri" w:asciiTheme="minorHAnsi" w:hAnsiTheme="minorHAnsi" w:eastAsiaTheme="minorHAnsi"/>
      <w:b/>
      <w:color w:val="auto"/>
      <w:kern w:val="0"/>
      <w:sz w:val="22"/>
      <w:szCs w:val="20"/>
      <w:lang w:val="ru-RU" w:eastAsia="ru-RU" w:bidi="ar-SA"/>
    </w:rPr>
  </w:style>
  <w:style w:type="paragraph" w:customStyle="1" w:styleId="24">
    <w:name w:val="formattext"/>
    <w:basedOn w:val="1"/>
    <w:qFormat/>
    <w:uiPriority w:val="0"/>
    <w:pPr>
      <w:spacing w:beforeAutospacing="1" w:afterAutospacing="1"/>
    </w:pPr>
    <w:rPr>
      <w:szCs w:val="24"/>
    </w:rPr>
  </w:style>
  <w:style w:type="paragraph" w:styleId="25">
    <w:name w:val="List Paragraph"/>
    <w:basedOn w:val="1"/>
    <w:qFormat/>
    <w:uiPriority w:val="34"/>
    <w:pPr>
      <w:spacing w:before="0" w:after="0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26">
    <w:name w:val="Содержимое врезки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1368</Words>
  <Characters>10918</Characters>
  <Paragraphs>100</Paragraphs>
  <TotalTime>19</TotalTime>
  <ScaleCrop>false</ScaleCrop>
  <LinksUpToDate>false</LinksUpToDate>
  <CharactersWithSpaces>12229</CharactersWithSpaces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2021-12-27T03:18:00Z</dcterms:created>
  <dc:creator>Hlebnikova</dc:creator>
  <cp:lastModifiedBy>admin</cp:lastModifiedBy>
  <cp:lastPrinted>2025-11-20T02:05:00Z</cp:lastPrinted>
  <dcterms:modified xsi:type="dcterms:W3CDTF">2025-11-27T06:56:43Z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12CBBACAF3F74B98B5A404F2989CFA1D_12</vt:lpwstr>
  </property>
</Properties>
</file>