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0"/>
        <w:jc w:val="center"/>
        <w:rPr>
          <w:rFonts w:ascii="Times New Roman" w:hAnsi="Times New Roman"/>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2024 году (за отчетный 2023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2" w:tgtFrame="consultantplus://offline/ref=57E0B1C8ADAC653FBEA55D1E9049ED91A63B5BC1BDB036D12C5B445229pEa3J">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t>При этом подразделениям по профилактике коррупционных и иных правонарушений</w:t>
      </w:r>
      <w:r>
        <w:rPr>
          <w:rStyle w:val="Annotationreference"/>
          <w:rFonts w:ascii="Times New Roman" w:hAnsi="Times New Roman"/>
          <w:sz w:val="28"/>
          <w:szCs w:val="28"/>
        </w:rPr>
        <w:t xml:space="preserve"> </w:t>
      </w:r>
      <w:r>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r>
    </w:p>
    <w:p>
      <w:pPr>
        <w:pStyle w:val="ListParagraph"/>
        <w:tabs>
          <w:tab w:val="clear" w:pos="709"/>
          <w:tab w:val="left" w:pos="426" w:leader="none"/>
        </w:tabs>
        <w:ind w:hanging="0" w:left="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Представление сведений о доходах, расходах,</w:t>
      </w:r>
    </w:p>
    <w:p>
      <w:pPr>
        <w:pStyle w:val="ListParagraph"/>
        <w:ind w:hanging="0" w:left="0"/>
        <w:jc w:val="cente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firstLine="567" w:left="0"/>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2"/>
        </w:numPr>
        <w:tabs>
          <w:tab w:val="clear" w:pos="709"/>
          <w:tab w:val="left" w:pos="567" w:leader="none"/>
        </w:tabs>
        <w:spacing w:before="0" w:after="0"/>
        <w:ind w:firstLine="568" w:left="0"/>
        <w:contextualSpacing w:val="false"/>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pPr>
        <w:pStyle w:val="ListParagraph"/>
        <w:numPr>
          <w:ilvl w:val="0"/>
          <w:numId w:val="2"/>
        </w:numPr>
        <w:tabs>
          <w:tab w:val="clear" w:pos="709"/>
          <w:tab w:val="left" w:pos="567" w:leader="none"/>
        </w:tabs>
        <w:spacing w:before="0" w:after="0"/>
        <w:ind w:firstLine="568" w:left="0"/>
        <w:contextualSpacing w:val="false"/>
        <w:rPr>
          <w:rFonts w:ascii="Times New Roman" w:hAnsi="Times New Roman"/>
          <w:sz w:val="28"/>
          <w:szCs w:val="28"/>
        </w:rPr>
      </w:pPr>
      <w:r>
        <w:rPr>
          <w:rFonts w:ascii="Times New Roman" w:hAnsi="Times New Roman"/>
          <w:sz w:val="28"/>
          <w:szCs w:val="28"/>
        </w:rPr>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pPr>
        <w:pStyle w:val="ListParagraph"/>
        <w:tabs>
          <w:tab w:val="clear" w:pos="709"/>
          <w:tab w:val="left" w:pos="567" w:leader="none"/>
        </w:tabs>
        <w:spacing w:before="0" w:after="0"/>
        <w:ind w:firstLine="568" w:left="0"/>
        <w:contextualSpacing w:val="false"/>
        <w:rPr>
          <w:rFonts w:ascii="Times New Roman" w:hAnsi="Times New Roman"/>
          <w:sz w:val="28"/>
          <w:szCs w:val="28"/>
        </w:rPr>
      </w:pPr>
      <w:r>
        <w:rPr>
          <w:rFonts w:ascii="Times New Roman" w:hAnsi="Times New Roman"/>
          <w:sz w:val="28"/>
          <w:szCs w:val="28"/>
        </w:rPr>
        <w:t>В случае, если в течение отчетного периода такие сделки не совершались:</w:t>
      </w:r>
    </w:p>
    <w:p>
      <w:pPr>
        <w:pStyle w:val="ListParagraph"/>
        <w:tabs>
          <w:tab w:val="clear" w:pos="709"/>
          <w:tab w:val="left" w:pos="567" w:leader="none"/>
        </w:tabs>
        <w:spacing w:before="0" w:after="0"/>
        <w:ind w:firstLine="568" w:left="0"/>
        <w:contextualSpacing w:val="false"/>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ListParagraph"/>
        <w:tabs>
          <w:tab w:val="clear" w:pos="709"/>
          <w:tab w:val="left" w:pos="567" w:leader="none"/>
        </w:tabs>
        <w:spacing w:before="0" w:after="0"/>
        <w:ind w:firstLine="568" w:left="0"/>
        <w:contextualSpacing w:val="false"/>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ListParagraph"/>
        <w:tabs>
          <w:tab w:val="clear" w:pos="709"/>
          <w:tab w:val="left" w:pos="567" w:leader="none"/>
        </w:tabs>
        <w:spacing w:before="0" w:after="0"/>
        <w:ind w:firstLine="568" w:left="0"/>
        <w:contextualSpacing w:val="false"/>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3">
        <w:r>
          <w:rPr>
            <w:rStyle w:val="Hyperlink"/>
            <w:rFonts w:ascii="Times New Roman" w:hAnsi="Times New Roman"/>
            <w:sz w:val="28"/>
            <w:szCs w:val="28"/>
          </w:rPr>
          <w:t>https://mintrud.gov.ru/ministry/programms/anticorruption/9/instruktivno-metodicheskie-materialy-po-fz</w:t>
        </w:r>
      </w:hyperlink>
      <w:r>
        <w:rPr>
          <w:rFonts w:ascii="Times New Roman" w:hAnsi="Times New Roman"/>
          <w:sz w:val="28"/>
          <w:szCs w:val="28"/>
        </w:rPr>
        <w:t>).</w:t>
      </w:r>
    </w:p>
    <w:p>
      <w:pPr>
        <w:pStyle w:val="ListParagraph"/>
        <w:numPr>
          <w:ilvl w:val="0"/>
          <w:numId w:val="2"/>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4" w:tgtFrame="consultantplus://offline/ref=C9E7374AA1332C6CF9FF0059DC9BC42D7E0C4094E90E8D4E87A0DE0B00JBsBL">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2"/>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pPr>
        <w:pStyle w:val="ConsPlusNormal"/>
        <w:numPr>
          <w:ilvl w:val="0"/>
          <w:numId w:val="2"/>
        </w:numPr>
        <w:tabs>
          <w:tab w:val="clear" w:pos="709"/>
          <w:tab w:val="left" w:pos="567" w:leader="none"/>
        </w:tabs>
        <w:ind w:firstLine="567" w:left="0"/>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5" w:tgtFrame="consultantplus://offline/ref=176F7DE9F43BBC5D4BD135AAE1CAD04D0FAF9650A130B33DA87DA13E97FAF95DCF18F97FDC1FE2FAH7g2M">
        <w:r>
          <w:rPr/>
          <w:t>перечень</w:t>
        </w:r>
      </w:hyperlink>
      <w:r>
        <w:rPr/>
        <w:t>, утвержденный Советом директоров Центрального банка Российской Федерации;</w:t>
      </w:r>
    </w:p>
    <w:p>
      <w:pPr>
        <w:pStyle w:val="ListParagraph"/>
        <w:numPr>
          <w:ilvl w:val="0"/>
          <w:numId w:val="2"/>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6"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2"/>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2"/>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pPr>
        <w:pStyle w:val="ListParagraph"/>
        <w:numPr>
          <w:ilvl w:val="0"/>
          <w:numId w:val="2"/>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3"/>
        </w:numPr>
        <w:tabs>
          <w:tab w:val="clear" w:pos="709"/>
          <w:tab w:val="left" w:pos="0" w:leader="none"/>
          <w:tab w:val="left" w:pos="567" w:leader="none"/>
        </w:tabs>
        <w:ind w:firstLine="567" w:left="0"/>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3"/>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3"/>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3"/>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pPr>
        <w:pStyle w:val="ListParagraph"/>
        <w:numPr>
          <w:ilvl w:val="0"/>
          <w:numId w:val="3"/>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7" w:tgtFrame="consultantplus://offline/ref=3743F552A0D416E80BEAF690826125BB530BB097B6A5A5C17137C1E72FF3E91DCF3284BA9D2A6279g3rBM">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8"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3"/>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pPr>
        <w:pStyle w:val="ListParagraph"/>
        <w:numPr>
          <w:ilvl w:val="0"/>
          <w:numId w:val="3"/>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Государственный гражданский служащий</w:t>
      </w:r>
      <w:r>
        <w:rPr>
          <w:rFonts w:ascii="Times New Roman" w:hAnsi="Times New Roman"/>
          <w:sz w:val="28"/>
        </w:rPr>
        <w:t xml:space="preserve"> Российской Федерации</w:t>
      </w:r>
      <w:r>
        <w:rPr>
          <w:rFonts w:ascii="Times New Roman" w:hAnsi="Times New Roman"/>
          <w:sz w:val="28"/>
          <w:szCs w:val="28"/>
        </w:rPr>
        <w:t xml:space="preserve"> и гражданин, претендующие на включение в федеральный кадровый резерв на государственной гражданской службе</w:t>
      </w:r>
      <w:r>
        <w:rPr>
          <w:rFonts w:ascii="Times New Roman" w:hAnsi="Times New Roman"/>
          <w:sz w:val="28"/>
        </w:rPr>
        <w:t xml:space="preserve"> Российской Федерации (далее – федеральный кадровый резерв)</w:t>
      </w:r>
      <w:r>
        <w:rPr>
          <w:rFonts w:ascii="Times New Roman" w:hAnsi="Times New Roman"/>
          <w:sz w:val="28"/>
          <w:szCs w:val="28"/>
        </w:rPr>
        <w:t xml:space="preserve">,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br/>
        <w:t>№ 61).</w:t>
      </w:r>
    </w:p>
    <w:p>
      <w:pPr>
        <w:pStyle w:val="ListParagraph"/>
        <w:tabs>
          <w:tab w:val="clear" w:pos="709"/>
          <w:tab w:val="left" w:pos="1134" w:leader="none"/>
        </w:tabs>
        <w:ind w:firstLine="567" w:left="0"/>
        <w:rPr>
          <w:rFonts w:ascii="Times New Roman" w:hAnsi="Times New Roman"/>
          <w:color w:val="000000"/>
          <w:sz w:val="28"/>
          <w:szCs w:val="28"/>
        </w:rPr>
      </w:pPr>
      <w:r>
        <w:rPr>
          <w:rFonts w:ascii="Times New Roman" w:hAnsi="Times New Roman"/>
          <w:color w:val="000000"/>
          <w:sz w:val="28"/>
          <w:szCs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pPr>
        <w:pStyle w:val="Normal"/>
        <w:tabs>
          <w:tab w:val="clear" w:pos="709"/>
          <w:tab w:val="left" w:pos="1843" w:leader="none"/>
        </w:tabs>
        <w:spacing w:lineRule="exact" w:line="360"/>
        <w:ind w:firstLine="567"/>
        <w:rPr>
          <w:rFonts w:ascii="Times New Roman" w:hAnsi="Times New Roman"/>
          <w:sz w:val="28"/>
          <w:szCs w:val="28"/>
        </w:rPr>
      </w:pPr>
      <w:r>
        <w:rPr>
          <w:rFonts w:ascii="Times New Roman" w:hAnsi="Times New Roman"/>
          <w:color w:val="000000"/>
          <w:sz w:val="28"/>
          <w:szCs w:val="28"/>
        </w:rPr>
        <w:t xml:space="preserve">При выборе отчетного периода необходимо исходить из того, что </w:t>
      </w:r>
      <w:r>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color w:val="000000"/>
          <w:sz w:val="28"/>
          <w:szCs w:val="28"/>
        </w:rPr>
        <w:t xml:space="preserve">пункт 4 Положения </w:t>
      </w:r>
      <w:r>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pPr>
        <w:pStyle w:val="Normal"/>
        <w:tabs>
          <w:tab w:val="clear" w:pos="709"/>
          <w:tab w:val="left" w:pos="1843" w:leader="none"/>
        </w:tabs>
        <w:spacing w:lineRule="exact" w:line="360"/>
        <w:rPr>
          <w:rFonts w:ascii="Times New Roman" w:hAnsi="Times New Roman"/>
          <w:sz w:val="28"/>
          <w:szCs w:val="28"/>
        </w:rPr>
      </w:pPr>
      <w:r>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r>
    </w:p>
    <w:p>
      <w:pPr>
        <w:pStyle w:val="Normal"/>
        <w:tabs>
          <w:tab w:val="clear" w:pos="709"/>
          <w:tab w:val="left" w:pos="1134" w:leader="none"/>
        </w:tabs>
        <w:ind w:firstLine="567"/>
        <w:rPr>
          <w:rFonts w:ascii="Times New Roman" w:hAnsi="Times New Roman"/>
          <w:sz w:val="28"/>
          <w:szCs w:val="28"/>
        </w:rPr>
      </w:pPr>
      <w:r>
        <w:rPr>
          <w:rFonts w:ascii="Times New Roman" w:hAnsi="Times New Roman"/>
          <w:b/>
          <w:sz w:val="28"/>
          <w:szCs w:val="28"/>
        </w:rPr>
        <w:t xml:space="preserve">Обязательность представления Сведений </w:t>
      </w:r>
    </w:p>
    <w:p>
      <w:pPr>
        <w:pStyle w:val="ListParagraph"/>
        <w:numPr>
          <w:ilvl w:val="0"/>
          <w:numId w:val="1"/>
        </w:numPr>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pPr>
        <w:pStyle w:val="ListParagraph"/>
        <w:numPr>
          <w:ilvl w:val="0"/>
          <w:numId w:val="1"/>
        </w:numPr>
        <w:tabs>
          <w:tab w:val="clear" w:pos="709"/>
          <w:tab w:val="left" w:pos="1134" w:leader="none"/>
        </w:tabs>
        <w:ind w:firstLine="567" w:left="0"/>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tgtFrame="consultantplus://offline/ref=33E7B6DD529722622844D6F9EBC8DBA03B3FAEDA9118A1613233FFF35FCD6ECFCAED66496D73EC2Di9vDO">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ListParagraph"/>
        <w:numPr>
          <w:ilvl w:val="0"/>
          <w:numId w:val="1"/>
        </w:numPr>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ListParagraph"/>
        <w:numPr>
          <w:ilvl w:val="1"/>
          <w:numId w:val="1"/>
        </w:numPr>
        <w:tabs>
          <w:tab w:val="clear" w:pos="709"/>
          <w:tab w:val="left" w:pos="1134" w:leader="none"/>
        </w:tabs>
        <w:ind w:firstLine="567" w:left="0"/>
        <w:rPr>
          <w:rFonts w:ascii="Times New Roman" w:hAnsi="Times New Roman"/>
          <w:sz w:val="28"/>
          <w:szCs w:val="28"/>
        </w:rPr>
      </w:pPr>
      <w:r>
        <w:rPr>
          <w:rFonts w:ascii="Times New Roman" w:hAnsi="Times New Roman"/>
          <w:sz w:val="28"/>
          <w:szCs w:val="28"/>
        </w:rPr>
        <w:t>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ListParagraph"/>
        <w:numPr>
          <w:ilvl w:val="1"/>
          <w:numId w:val="1"/>
        </w:numPr>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Pr/>
        <w:t xml:space="preserve"> </w:t>
      </w:r>
      <w:r>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p>
    <w:p>
      <w:pPr>
        <w:pStyle w:val="Normal"/>
        <w:tabs>
          <w:tab w:val="clear" w:pos="709"/>
          <w:tab w:val="left" w:pos="1134" w:leader="none"/>
        </w:tabs>
        <w:ind w:firstLine="567"/>
        <w:rPr>
          <w:rFonts w:ascii="Times New Roman" w:hAnsi="Times New Roman"/>
          <w:sz w:val="28"/>
          <w:szCs w:val="28"/>
          <w:highlight w:val="yellow"/>
        </w:rPr>
      </w:pPr>
      <w:r>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pPr>
        <w:pStyle w:val="ListParagraph"/>
        <w:tabs>
          <w:tab w:val="clear" w:pos="709"/>
          <w:tab w:val="left" w:pos="567" w:leader="none"/>
        </w:tabs>
        <w:spacing w:before="0" w:after="0"/>
        <w:ind w:firstLine="568" w:left="0"/>
        <w:contextualSpacing w:val="false"/>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0">
        <w:r>
          <w:rPr>
            <w:rStyle w:val="Hyperlink"/>
            <w:rFonts w:ascii="Times New Roman" w:hAnsi="Times New Roman"/>
            <w:sz w:val="28"/>
            <w:szCs w:val="28"/>
          </w:rPr>
          <w:t>https://mintrud.gov.ru/ministry/programms/anticorruption/9/23</w:t>
        </w:r>
      </w:hyperlink>
      <w:r>
        <w:rPr>
          <w:rFonts w:ascii="Times New Roman" w:hAnsi="Times New Roman"/>
          <w:sz w:val="28"/>
          <w:szCs w:val="28"/>
        </w:rPr>
        <w:t>).</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ListParagraph"/>
        <w:tabs>
          <w:tab w:val="clear" w:pos="709"/>
          <w:tab w:val="left" w:pos="1134" w:leader="none"/>
        </w:tabs>
        <w:ind w:firstLine="709" w:left="0"/>
        <w:rPr>
          <w:rFonts w:ascii="Times New Roman" w:hAnsi="Times New Roman"/>
          <w:sz w:val="28"/>
          <w:szCs w:val="28"/>
        </w:rPr>
      </w:pPr>
      <w:r>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1">
        <w:r>
          <w:rPr>
            <w:rStyle w:val="Hyperlink"/>
            <w:rFonts w:ascii="Times New Roman" w:hAnsi="Times New Roman"/>
            <w:sz w:val="28"/>
            <w:szCs w:val="28"/>
          </w:rPr>
          <w:t>https://mintrud.gov.ru/ministry/programms/anticorruption/9/23</w:t>
        </w:r>
      </w:hyperlink>
      <w:r>
        <w:rPr>
          <w:rFonts w:ascii="Times New Roman" w:hAnsi="Times New Roman"/>
          <w:sz w:val="28"/>
          <w:szCs w:val="28"/>
        </w:rPr>
        <w:t>).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firstLine="567" w:left="0"/>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4"/>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4"/>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pPr>
        <w:pStyle w:val="ListParagraph"/>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Нерабочий день не является основанием для переноса срока представления Сведений.</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5"/>
        </w:numPr>
        <w:tabs>
          <w:tab w:val="clear" w:pos="709"/>
          <w:tab w:val="left" w:pos="567" w:leader="none"/>
          <w:tab w:val="left" w:pos="1276" w:leader="none"/>
        </w:tabs>
        <w:ind w:firstLine="567" w:left="0"/>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firstLine="567" w:left="0"/>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firstLine="567" w:left="0"/>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5"/>
        </w:numPr>
        <w:tabs>
          <w:tab w:val="clear" w:pos="709"/>
          <w:tab w:val="left" w:pos="567" w:leader="none"/>
          <w:tab w:val="left" w:pos="1276" w:leader="none"/>
        </w:tabs>
        <w:ind w:firstLine="567" w:left="0"/>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firstLine="567" w:left="0"/>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clear" w:pos="709"/>
          <w:tab w:val="left" w:pos="567" w:leader="none"/>
          <w:tab w:val="left" w:pos="993" w:leader="none"/>
          <w:tab w:val="left" w:pos="1134" w:leader="none"/>
        </w:tabs>
        <w:ind w:firstLine="567" w:left="0"/>
        <w:rPr>
          <w:rFonts w:ascii="Times New Roman" w:hAnsi="Times New Roman"/>
          <w:sz w:val="28"/>
          <w:szCs w:val="28"/>
        </w:rPr>
      </w:pPr>
      <w:bookmarkStart w:id="0" w:name="_Hlk153818148"/>
      <w:r>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284" w:leader="none"/>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284" w:leader="none"/>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firstLine="567" w:left="0"/>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ListParagraph"/>
        <w:numPr>
          <w:ilvl w:val="1"/>
          <w:numId w:val="1"/>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firstLine="567" w:left="0"/>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2024 г. не требуется.</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firstLine="567" w:left="0"/>
        <w:rPr>
          <w:rFonts w:ascii="Times New Roman" w:hAnsi="Times New Roman"/>
          <w:sz w:val="28"/>
          <w:szCs w:val="28"/>
        </w:rPr>
      </w:pPr>
      <w:r>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firstLine="567" w:left="0"/>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2024 году </w:t>
              <w:br/>
              <w:t>(за отчетный 2023 год)</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2024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left="34"/>
              <w:rPr>
                <w:rFonts w:ascii="Times New Roman" w:hAnsi="Times New Roman"/>
                <w:sz w:val="28"/>
                <w:szCs w:val="28"/>
              </w:rPr>
            </w:pPr>
            <w:r>
              <w:rPr>
                <w:rFonts w:ascii="Times New Roman" w:hAnsi="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trHeight w:val="660"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left="34"/>
              <w:rPr>
                <w:rFonts w:ascii="Times New Roman" w:hAnsi="Times New Roman"/>
                <w:sz w:val="28"/>
                <w:szCs w:val="28"/>
              </w:rPr>
            </w:pPr>
            <w:r>
              <w:rPr>
                <w:rFonts w:ascii="Times New Roman" w:hAnsi="Times New Roman"/>
                <w:sz w:val="28"/>
                <w:szCs w:val="28"/>
              </w:rPr>
              <w:t>Брак заключен 1 февраля 2024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left="34"/>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2024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left="34"/>
              <w:rPr>
                <w:rFonts w:ascii="Times New Roman" w:hAnsi="Times New Roman"/>
                <w:sz w:val="28"/>
                <w:szCs w:val="28"/>
              </w:rPr>
            </w:pPr>
            <w:r>
              <w:rPr>
                <w:rFonts w:ascii="Times New Roman" w:hAnsi="Times New Roman"/>
                <w:sz w:val="28"/>
                <w:szCs w:val="28"/>
              </w:rPr>
              <w:t>Брак заключен 2 августа 2024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left="34"/>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pPr>
        <w:pStyle w:val="ListParagraph"/>
        <w:tabs>
          <w:tab w:val="clear" w:pos="709"/>
          <w:tab w:val="left" w:pos="1134" w:leader="none"/>
        </w:tabs>
        <w:ind w:firstLine="851" w:left="709"/>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2024 году (за отчетный 2023 год)</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2023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2023 года и вступило в законную силу 12 января 2024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2024 года </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2024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2024 года </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2024 года и вступило в законную силу 4 августа 2024 г.</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pPr>
        <w:pStyle w:val="Normal"/>
        <w:ind w:firstLine="567"/>
        <w:rPr>
          <w:rFonts w:ascii="Times New Roman" w:hAnsi="Times New Roman"/>
          <w:b/>
          <w:sz w:val="28"/>
          <w:szCs w:val="28"/>
        </w:rPr>
      </w:pPr>
      <w:r>
        <w:rPr>
          <w:rFonts w:ascii="Times New Roman" w:hAnsi="Times New Roman"/>
          <w:b/>
          <w:sz w:val="28"/>
          <w:szCs w:val="28"/>
        </w:rPr>
      </w:r>
    </w:p>
    <w:p>
      <w:pPr>
        <w:pStyle w:val="ListParagraph"/>
        <w:numPr>
          <w:ilvl w:val="0"/>
          <w:numId w:val="1"/>
        </w:numPr>
        <w:tabs>
          <w:tab w:val="clear" w:pos="709"/>
          <w:tab w:val="left" w:pos="1134" w:leader="none"/>
        </w:tabs>
        <w:ind w:firstLine="567" w:left="0"/>
        <w:rPr>
          <w:rFonts w:ascii="Times New Roman" w:hAnsi="Times New Roman"/>
          <w:sz w:val="28"/>
          <w:szCs w:val="28"/>
        </w:rPr>
      </w:pPr>
      <w:r>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2">
        <w:r>
          <w:rPr>
            <w:rStyle w:val="Hyperlink"/>
            <w:rFonts w:ascii="Times New Roman" w:hAnsi="Times New Roman"/>
            <w:sz w:val="28"/>
            <w:szCs w:val="28"/>
          </w:rPr>
          <w:t>https://mintrud.gov.ru/ministry/programms/anticorruption/9/23</w:t>
        </w:r>
      </w:hyperlink>
      <w:r>
        <w:rPr>
          <w:rFonts w:ascii="Times New Roman" w:hAnsi="Times New Roman"/>
          <w:sz w:val="28"/>
          <w:szCs w:val="28"/>
        </w:rPr>
        <w:t>).</w:t>
      </w:r>
    </w:p>
    <w:p>
      <w:pPr>
        <w:pStyle w:val="ListParagraph"/>
        <w:ind w:firstLine="567" w:left="0"/>
        <w:rPr>
          <w:rFonts w:ascii="Times New Roman" w:hAnsi="Times New Roman"/>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firstLine="567" w:left="0"/>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firstLine="567" w:left="0"/>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2024 году (за отчетный 2023 год)</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5 мая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firstLine="567" w:left="0"/>
        <w:rPr>
          <w:rFonts w:ascii="Times New Roman" w:hAnsi="Times New Roman"/>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по объективным причинам представить Сведения в отношении члена семьи</w:t>
      </w:r>
    </w:p>
    <w:p>
      <w:pPr>
        <w:pStyle w:val="ListParagraph"/>
        <w:numPr>
          <w:ilvl w:val="0"/>
          <w:numId w:val="1"/>
        </w:numPr>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Pr>
          <w:rFonts w:ascii="Times New Roman" w:hAnsi="Times New Roman"/>
          <w:sz w:val="28"/>
          <w:szCs w:val="28"/>
          <w:lang w:val="en-US"/>
        </w:rPr>
        <w:t> </w:t>
      </w:r>
      <w:r>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3">
        <w:r>
          <w:rPr>
            <w:rStyle w:val="Hyperlink"/>
            <w:rFonts w:ascii="Times New Roman" w:hAnsi="Times New Roman"/>
            <w:sz w:val="28"/>
            <w:szCs w:val="28"/>
          </w:rPr>
          <w:t>https://mintrud.gov.ru/ministry/programms/anticorruption/9/24</w:t>
        </w:r>
      </w:hyperlink>
      <w:r>
        <w:rPr>
          <w:rFonts w:ascii="Times New Roman" w:hAnsi="Times New Roman"/>
          <w:sz w:val="28"/>
          <w:szCs w:val="28"/>
        </w:rPr>
        <w:t xml:space="preserve">). </w:t>
      </w:r>
    </w:p>
    <w:p>
      <w:pPr>
        <w:pStyle w:val="ListParagraph"/>
        <w:numPr>
          <w:ilvl w:val="0"/>
          <w:numId w:val="1"/>
        </w:numPr>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firstLine="567" w:left="0"/>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223"/>
        <w:gridCol w:w="7124"/>
      </w:tblGrid>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государственной службы, кадров и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ListParagraph"/>
        <w:numPr>
          <w:ilvl w:val="0"/>
          <w:numId w:val="1"/>
        </w:numPr>
        <w:ind w:firstLine="567" w:left="0"/>
        <w:rPr>
          <w:rFonts w:ascii="Times New Roman" w:hAnsi="Times New Roman"/>
          <w:sz w:val="28"/>
          <w:szCs w:val="28"/>
          <w:lang w:eastAsia="ru-RU"/>
        </w:rPr>
      </w:pPr>
      <w:r>
        <w:rPr>
          <w:rFonts w:ascii="Times New Roman" w:hAnsi="Times New Roman"/>
          <w:sz w:val="28"/>
          <w:szCs w:val="28"/>
        </w:rPr>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w:t>
      </w:r>
      <w:r>
        <w:rPr>
          <w:rFonts w:ascii="Times New Roman" w:hAnsi="Times New Roman"/>
          <w:sz w:val="28"/>
        </w:rPr>
        <w:t>на непостоянной основе</w:t>
      </w:r>
      <w:r>
        <w:rPr>
          <w:rFonts w:ascii="Times New Roman" w:hAnsi="Times New Roman"/>
          <w:sz w:val="28"/>
          <w:szCs w:val="28"/>
        </w:rPr>
        <w:t>),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pPr>
        <w:pStyle w:val="ListParagraph"/>
        <w:ind w:firstLine="567" w:left="0"/>
        <w:rPr>
          <w:rFonts w:ascii="Times New Roman" w:hAnsi="Times New Roman"/>
          <w:sz w:val="28"/>
          <w:szCs w:val="28"/>
          <w:lang w:eastAsia="ru-RU"/>
        </w:rPr>
      </w:pPr>
      <w:r>
        <w:rPr>
          <w:rFonts w:ascii="Times New Roman" w:hAnsi="Times New Roman"/>
          <w:sz w:val="28"/>
          <w:szCs w:val="28"/>
        </w:rPr>
        <w:t xml:space="preserve">Вопросы подачи </w:t>
      </w:r>
      <w:r>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szCs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pPr>
        <w:pStyle w:val="Normal"/>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вследствие не зависящих от служащего (работника) обстоятельств</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ListParagraph"/>
        <w:ind w:firstLine="567" w:left="0"/>
        <w:rPr>
          <w:rFonts w:ascii="Times New Roman" w:hAnsi="Times New Roman"/>
          <w:sz w:val="28"/>
          <w:szCs w:val="28"/>
        </w:rPr>
      </w:pPr>
      <w:r>
        <w:rPr>
          <w:rFonts w:ascii="Times New Roman" w:hAnsi="Times New Roman"/>
          <w:sz w:val="28"/>
          <w:szCs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pPr>
        <w:pStyle w:val="ListParagraph"/>
        <w:ind w:firstLine="567" w:left="0"/>
        <w:rPr>
          <w:rFonts w:ascii="Times New Roman" w:hAnsi="Times New Roman"/>
          <w:sz w:val="28"/>
          <w:szCs w:val="28"/>
        </w:rPr>
      </w:pPr>
      <w:r>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pPr>
        <w:pStyle w:val="Normal"/>
        <w:ind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справки о доходах, расходах, </w:t>
      </w:r>
    </w:p>
    <w:p>
      <w:pPr>
        <w:pStyle w:val="Normal"/>
        <w:ind w:hanging="0"/>
        <w:jc w:val="cente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pPr>
        <w:pStyle w:val="Normal"/>
        <w:ind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firstLine="567" w:left="0"/>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firstLine="567" w:left="0"/>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ListParagraph"/>
        <w:ind w:firstLine="567" w:left="0"/>
        <w:rPr>
          <w:rFonts w:ascii="Times New Roman" w:hAnsi="Times New Roman"/>
          <w:sz w:val="28"/>
          <w:szCs w:val="28"/>
        </w:rPr>
      </w:pPr>
      <w:r>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14" w:tgtFrame="http://www.kremlin.ru/structure/additional/12">
        <w:r>
          <w:rPr>
            <w:rStyle w:val="Hyperlink"/>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5" w:tgtFrame="https://gossluzhba.gov.ru/anticorruption/spravki_bk">
        <w:r>
          <w:rPr>
            <w:rStyle w:val="Hyperlink"/>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tabs>
          <w:tab w:val="clear" w:pos="709"/>
          <w:tab w:val="left" w:pos="1134" w:leader="none"/>
        </w:tabs>
        <w:ind w:firstLine="567" w:left="0"/>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pPr>
        <w:pStyle w:val="ListParagraph"/>
        <w:ind w:firstLine="567" w:left="0"/>
        <w:rPr>
          <w:rFonts w:ascii="Times New Roman" w:hAnsi="Times New Roman"/>
          <w:sz w:val="28"/>
          <w:szCs w:val="28"/>
        </w:rPr>
      </w:pPr>
      <w:r>
        <w:rPr>
          <w:rFonts w:ascii="Times New Roman" w:hAnsi="Times New Roman"/>
          <w:sz w:val="28"/>
          <w:szCs w:val="28"/>
        </w:rPr>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pPr>
        <w:pStyle w:val="ListParagraph"/>
        <w:ind w:firstLine="567" w:left="0"/>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firstLine="567" w:left="0"/>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firstLine="567" w:left="0"/>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firstLine="567" w:left="0"/>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firstLine="567" w:left="0"/>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firstLine="567" w:left="0"/>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tabs>
          <w:tab w:val="clear" w:pos="709"/>
          <w:tab w:val="left" w:pos="1134" w:leader="none"/>
        </w:tabs>
        <w:ind w:firstLine="567" w:left="0"/>
        <w:rPr>
          <w:rFonts w:ascii="Times New Roman" w:hAnsi="Times New Roman"/>
          <w:sz w:val="28"/>
          <w:szCs w:val="28"/>
        </w:rPr>
      </w:pPr>
      <w:r>
        <w:rPr>
          <w:rFonts w:ascii="Times New Roman" w:hAnsi="Times New Roman"/>
          <w:sz w:val="28"/>
          <w:szCs w:val="28"/>
        </w:rPr>
        <w:t xml:space="preserve">Печатать справки рекомендуется только на одной стороне листа. </w:t>
      </w:r>
    </w:p>
    <w:p>
      <w:pPr>
        <w:pStyle w:val="ListParagraph"/>
        <w:numPr>
          <w:ilvl w:val="0"/>
          <w:numId w:val="1"/>
        </w:numPr>
        <w:tabs>
          <w:tab w:val="clear" w:pos="709"/>
          <w:tab w:val="left" w:pos="1134" w:leader="none"/>
        </w:tabs>
        <w:ind w:firstLine="567" w:left="0"/>
        <w:rPr>
          <w:rFonts w:ascii="Times New Roman" w:hAnsi="Times New Roman"/>
          <w:sz w:val="28"/>
          <w:szCs w:val="28"/>
        </w:rPr>
      </w:pPr>
      <w:r>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16">
        <w:r>
          <w:rPr>
            <w:rStyle w:val="Hyperlink"/>
            <w:rFonts w:ascii="Times New Roman" w:hAnsi="Times New Roman"/>
            <w:sz w:val="28"/>
            <w:szCs w:val="28"/>
          </w:rPr>
          <w:t>https://www.cbr.ru/currency_base/daily/</w:t>
        </w:r>
      </w:hyperlink>
      <w:r>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ListParagraph"/>
        <w:tabs>
          <w:tab w:val="clear" w:pos="709"/>
          <w:tab w:val="left" w:pos="851" w:leader="none"/>
        </w:tabs>
        <w:ind w:hanging="0" w:left="0"/>
        <w:jc w:val="center"/>
        <w:rPr>
          <w:rFonts w:ascii="Times New Roman" w:hAnsi="Times New Roman"/>
          <w:b/>
          <w:sz w:val="28"/>
          <w:szCs w:val="28"/>
        </w:rPr>
      </w:pPr>
      <w:r>
        <w:rPr>
          <w:rFonts w:ascii="Times New Roman" w:hAnsi="Times New Roman"/>
          <w:b/>
          <w:sz w:val="28"/>
          <w:szCs w:val="28"/>
        </w:rPr>
      </w:r>
    </w:p>
    <w:p>
      <w:pPr>
        <w:pStyle w:val="ListParagraph"/>
        <w:tabs>
          <w:tab w:val="clear" w:pos="709"/>
          <w:tab w:val="left" w:pos="851" w:leader="none"/>
        </w:tabs>
        <w:ind w:hanging="0" w:left="0"/>
        <w:jc w:val="center"/>
        <w:rPr>
          <w:rFonts w:ascii="Times New Roman" w:hAnsi="Times New Roman"/>
          <w:b/>
          <w:sz w:val="28"/>
          <w:szCs w:val="28"/>
        </w:rPr>
      </w:pPr>
      <w:r>
        <w:rPr>
          <w:rFonts w:ascii="Times New Roman" w:hAnsi="Times New Roman"/>
          <w:b/>
          <w:sz w:val="28"/>
          <w:szCs w:val="28"/>
        </w:rPr>
        <w:t>ТИТУЛЬНЫЙ ЛИСТ</w:t>
      </w:r>
    </w:p>
    <w:p>
      <w:pPr>
        <w:pStyle w:val="ListParagraph"/>
        <w:tabs>
          <w:tab w:val="clear" w:pos="709"/>
          <w:tab w:val="left" w:pos="851" w:leader="none"/>
        </w:tabs>
        <w:ind w:firstLine="851" w:left="0"/>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firstLine="567" w:left="0"/>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bCs/>
          <w:sz w:val="28"/>
          <w:szCs w:val="28"/>
        </w:rPr>
        <w:t>указываются (в именительном падеж</w:t>
      </w:r>
      <w:r>
        <w:rPr>
          <w:rFonts w:ascii="Times New Roman" w:hAnsi="Times New Roman"/>
          <w:color w:val="1F497D"/>
          <w:sz w:val="28"/>
          <w:szCs w:val="28"/>
        </w:rPr>
        <w:t>е</w:t>
      </w:r>
      <w:r>
        <w:rPr>
          <w:rFonts w:ascii="Times New Roman" w:hAnsi="Times New Roman"/>
          <w:bCs/>
          <w:sz w:val="28"/>
          <w:szCs w:val="28"/>
        </w:rPr>
        <w:t xml:space="preserve">) </w:t>
      </w:r>
      <w:r>
        <w:rPr>
          <w:rStyle w:val="Style12"/>
          <w:rFonts w:cs="Times New Roman" w:ascii="Times New Roman" w:hAnsi="Times New Roman"/>
          <w:sz w:val="28"/>
          <w:szCs w:val="28"/>
        </w:rPr>
        <w:t>полностью, без</w:t>
      </w:r>
      <w:r>
        <w:rPr>
          <w:rStyle w:val="Style12"/>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szCs w:val="28"/>
        </w:rPr>
        <w:t>удостоверяющего личность документа указываются по состоянию на дату представления справки)</w:t>
      </w:r>
      <w:r>
        <w:rPr>
          <w:rStyle w:val="Style12"/>
          <w:rFonts w:cs="Times New Roman" w:ascii="Times New Roman" w:hAnsi="Times New Roman"/>
          <w:color w:val="000000"/>
          <w:sz w:val="28"/>
          <w:szCs w:val="28"/>
        </w:rPr>
        <w:t xml:space="preserve">. </w:t>
      </w:r>
      <w:r>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2"/>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cs="Times New Roman" w:ascii="Times New Roman" w:hAnsi="Times New Roman"/>
          <w:sz w:val="28"/>
          <w:szCs w:val="28"/>
        </w:rPr>
        <w:t>(с 1 января по 1 (30) апреля года, следующего за отчетным)</w:t>
      </w:r>
      <w:r>
        <w:rPr>
          <w:rStyle w:val="Style12"/>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cs="Times New Roman"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cs="Times New Roman" w:ascii="Times New Roman" w:hAnsi="Times New Roman"/>
          <w:sz w:val="28"/>
          <w:szCs w:val="28"/>
        </w:rPr>
        <w:t xml:space="preserve"> или "домохозяйка" ("домохозяин")</w:t>
      </w:r>
      <w:r>
        <w:rPr>
          <w:rStyle w:val="Style12"/>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cs="Times New Roman" w:ascii="Times New Roman" w:hAnsi="Times New Roman"/>
          <w:sz w:val="28"/>
          <w:szCs w:val="28"/>
        </w:rPr>
        <w:t>"</w:t>
      </w:r>
      <w:r>
        <w:rPr>
          <w:rStyle w:val="Style12"/>
          <w:rFonts w:cs="Times New Roman" w:ascii="Times New Roman" w:hAnsi="Times New Roman"/>
          <w:sz w:val="28"/>
          <w:szCs w:val="28"/>
        </w:rPr>
        <w:t>осуществляющий уход за нетрудоспособным гражданином</w:t>
      </w:r>
      <w:r>
        <w:rPr>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5) при наличии на отчетную дату нескольких мест работы на титульном листе справки </w:t>
      </w:r>
      <w:r>
        <w:rPr>
          <w:rFonts w:cs="Times New Roman" w:ascii="Times New Roman" w:hAnsi="Times New Roman"/>
          <w:sz w:val="28"/>
          <w:szCs w:val="28"/>
        </w:rPr>
        <w:t>обязательно</w:t>
      </w:r>
      <w:r>
        <w:rPr>
          <w:rStyle w:val="Style12"/>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организация, в которой находится трудовая книжка. 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2"/>
          <w:rFonts w:cs="Times New Roman" w:ascii="Times New Roman" w:hAnsi="Times New Roman"/>
          <w:sz w:val="28"/>
          <w:szCs w:val="28"/>
        </w:rPr>
        <w:t>по состоянию на дату представления справки</w:t>
      </w:r>
      <w:r>
        <w:rPr>
          <w:rStyle w:val="Style12"/>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2"/>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numPr>
          <w:ilvl w:val="0"/>
          <w:numId w:val="1"/>
        </w:numPr>
        <w:ind w:firstLine="709" w:left="0"/>
        <w:rPr>
          <w:rFonts w:ascii="Times New Roman" w:hAnsi="Times New Roman"/>
          <w:sz w:val="28"/>
          <w:szCs w:val="28"/>
        </w:rPr>
      </w:pPr>
      <w:r>
        <w:rPr>
          <w:rFonts w:eastAsia="Times New Roman" w:ascii="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pPr>
        <w:pStyle w:val="ListParagraph"/>
        <w:tabs>
          <w:tab w:val="clear" w:pos="709"/>
          <w:tab w:val="left" w:pos="1134" w:leader="none"/>
        </w:tabs>
        <w:ind w:firstLine="567" w:left="0"/>
        <w:rPr>
          <w:rFonts w:ascii="Times New Roman" w:hAnsi="Times New Roman"/>
          <w:b/>
          <w:sz w:val="28"/>
          <w:szCs w:val="28"/>
        </w:rPr>
      </w:pPr>
      <w:r>
        <w:rPr>
          <w:rFonts w:ascii="Times New Roman" w:hAnsi="Times New Roman"/>
          <w:b/>
          <w:sz w:val="28"/>
          <w:szCs w:val="28"/>
        </w:rPr>
        <w:t>Доход по основному месту работы</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sz w:val="28"/>
        </w:rPr>
        <w:t>"Иные доходы"</w:t>
      </w:r>
      <w:r>
        <w:rPr>
          <w:rFonts w:ascii="Times New Roman" w:hAnsi="Times New Roman"/>
          <w:sz w:val="28"/>
          <w:szCs w:val="28"/>
        </w:rPr>
        <w:t>. При этом в графе "Вид дохода" указывается предыдущее место работы.</w:t>
      </w:r>
    </w:p>
    <w:p>
      <w:pPr>
        <w:pStyle w:val="ListParagraph"/>
        <w:ind w:firstLine="567" w:left="0"/>
        <w:rPr>
          <w:rFonts w:ascii="Times New Roman" w:hAnsi="Times New Roman"/>
          <w:b/>
          <w:sz w:val="28"/>
          <w:szCs w:val="28"/>
        </w:rPr>
      </w:pPr>
      <w:r>
        <w:rPr>
          <w:rFonts w:ascii="Times New Roman" w:hAnsi="Times New Roman"/>
          <w:b/>
          <w:sz w:val="28"/>
          <w:szCs w:val="28"/>
        </w:rPr>
        <w:t>Особенности заполнения данной графы отдельными категориями лиц</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Normal"/>
        <w:ind w:firstLine="567"/>
        <w:rPr>
          <w:rFonts w:ascii="Times New Roman" w:hAnsi="Times New Roman"/>
          <w:sz w:val="28"/>
          <w:szCs w:val="28"/>
        </w:rPr>
      </w:pPr>
      <w:r>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sz w:val="28"/>
          <w:szCs w:val="28"/>
        </w:rPr>
        <w:t xml:space="preserve">"Доход по основному месту работы" </w:t>
      </w:r>
      <w:r>
        <w:rPr>
          <w:rFonts w:ascii="Times New Roman" w:hAnsi="Times New Roman"/>
          <w:sz w:val="28"/>
          <w:szCs w:val="28"/>
        </w:rPr>
        <w:t>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sz w:val="28"/>
          <w:szCs w:val="28"/>
        </w:rPr>
        <w:t xml:space="preserve"> "Иные доходы" </w:t>
      </w:r>
      <w:r>
        <w:rPr>
          <w:rFonts w:ascii="Times New Roman" w:hAnsi="Times New Roman"/>
          <w:sz w:val="28"/>
          <w:szCs w:val="28"/>
        </w:rPr>
        <w:t>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7" w:tgtFrame="https://mintrud.gov.ru/docs/1872">
        <w:r>
          <w:rPr>
            <w:rStyle w:val="Hyperlink"/>
            <w:rFonts w:ascii="Times New Roman" w:hAnsi="Times New Roman"/>
            <w:sz w:val="28"/>
            <w:szCs w:val="28"/>
          </w:rPr>
          <w:t>https://mintrud.gov.ru/docs/1872</w:t>
        </w:r>
      </w:hyperlink>
      <w:r>
        <w:rPr>
          <w:rFonts w:ascii="Times New Roman" w:hAnsi="Times New Roman"/>
          <w:sz w:val="28"/>
          <w:szCs w:val="28"/>
        </w:rPr>
        <w:t xml:space="preserve">). </w:t>
      </w:r>
    </w:p>
    <w:p>
      <w:pPr>
        <w:pStyle w:val="ListParagraph"/>
        <w:tabs>
          <w:tab w:val="clear" w:pos="709"/>
          <w:tab w:val="left" w:pos="1276" w:leader="none"/>
        </w:tabs>
        <w:ind w:firstLine="567" w:left="0"/>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sz w:val="28"/>
        </w:rPr>
        <w:t>"Доход по основному месту работы"</w:t>
      </w:r>
      <w:r>
        <w:rPr>
          <w:rFonts w:ascii="Times New Roman" w:hAnsi="Times New Roman"/>
          <w:sz w:val="28"/>
          <w:szCs w:val="28"/>
        </w:rPr>
        <w:t xml:space="preserve">, а не в строке </w:t>
      </w:r>
      <w:r>
        <w:rPr>
          <w:rFonts w:ascii="Times New Roman" w:hAnsi="Times New Roman"/>
          <w:b/>
          <w:sz w:val="28"/>
        </w:rPr>
        <w:t>"Доход от педагогической и научной деятельности"</w:t>
      </w:r>
      <w:r>
        <w:rPr>
          <w:rFonts w:ascii="Times New Roman" w:hAnsi="Times New Roman"/>
          <w:sz w:val="28"/>
          <w:szCs w:val="28"/>
        </w:rPr>
        <w:t>.</w:t>
      </w:r>
    </w:p>
    <w:p>
      <w:pPr>
        <w:pStyle w:val="ListParagraph"/>
        <w:ind w:firstLine="567" w:left="0"/>
        <w:rPr>
          <w:rFonts w:ascii="Times New Roman" w:hAnsi="Times New Roman"/>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firstLine="567" w:left="0"/>
        <w:rPr>
          <w:color w:val="auto"/>
          <w:sz w:val="28"/>
          <w:szCs w:val="28"/>
        </w:rPr>
      </w:pPr>
      <w:r>
        <w:rPr>
          <w:color w:val="auto"/>
          <w:sz w:val="28"/>
          <w:szCs w:val="28"/>
        </w:rPr>
        <w:t xml:space="preserve">Подлежат указанию в строках </w:t>
      </w:r>
      <w:r>
        <w:rPr>
          <w:b/>
          <w:color w:val="auto"/>
          <w:sz w:val="28"/>
          <w:szCs w:val="28"/>
        </w:rPr>
        <w:t>"Доход от педагогической и научной деятельности"</w:t>
      </w:r>
      <w:r>
        <w:rPr>
          <w:color w:val="auto"/>
          <w:sz w:val="28"/>
          <w:szCs w:val="28"/>
        </w:rPr>
        <w:t xml:space="preserve"> и </w:t>
      </w:r>
      <w:r>
        <w:rPr>
          <w:b/>
          <w:color w:val="auto"/>
          <w:sz w:val="28"/>
          <w:szCs w:val="28"/>
        </w:rPr>
        <w:t>"Доход от иной творческой деятельности"</w:t>
      </w:r>
      <w:r>
        <w:rPr>
          <w:color w:val="auto"/>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tabs>
          <w:tab w:val="clear" w:pos="709"/>
          <w:tab w:val="left" w:pos="567" w:leader="none"/>
        </w:tabs>
        <w:ind w:firstLine="567" w:left="0"/>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firstLine="567" w:left="0"/>
        <w:rPr>
          <w:rFonts w:ascii="Times New Roman" w:hAnsi="Times New Roman"/>
          <w:sz w:val="28"/>
          <w:szCs w:val="28"/>
        </w:rPr>
      </w:pPr>
      <w:r>
        <w:rPr>
          <w:rFonts w:ascii="Times New Roman" w:hAnsi="Times New Roman"/>
          <w:sz w:val="28"/>
          <w:szCs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Style12"/>
          <w:rFonts w:cs="Times New Roman" w:ascii="Times New Roman" w:hAnsi="Times New Roman"/>
          <w:sz w:val="28"/>
          <w:szCs w:val="28"/>
        </w:rPr>
        <w:t>полученной в рамках Указания Банка России № 5798-У, такие сведения не отражаются в справке.</w:t>
      </w:r>
    </w:p>
    <w:p>
      <w:pPr>
        <w:pStyle w:val="ListParagraph"/>
        <w:tabs>
          <w:tab w:val="clear" w:pos="709"/>
          <w:tab w:val="left" w:pos="1276" w:leader="none"/>
        </w:tabs>
        <w:ind w:firstLine="567" w:left="0"/>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firstLine="567" w:left="0"/>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firstLine="567" w:left="0"/>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pPr>
        <w:pStyle w:val="ListParagraph"/>
        <w:ind w:firstLine="567" w:left="0"/>
        <w:rPr>
          <w:rFonts w:ascii="Times New Roman" w:hAnsi="Times New Roman"/>
          <w:sz w:val="28"/>
          <w:szCs w:val="28"/>
        </w:rPr>
      </w:pPr>
      <w:r>
        <w:rPr>
          <w:rFonts w:ascii="Times New Roman" w:hAnsi="Times New Roman"/>
          <w:sz w:val="28"/>
          <w:szCs w:val="28"/>
        </w:rPr>
        <w:t>3) дисконт, полученный в качестве дохода по облигациям;</w:t>
      </w:r>
    </w:p>
    <w:p>
      <w:pPr>
        <w:pStyle w:val="ListParagraph"/>
        <w:tabs>
          <w:tab w:val="clear" w:pos="709"/>
          <w:tab w:val="left" w:pos="1276" w:leader="none"/>
        </w:tabs>
        <w:ind w:firstLine="567" w:left="0"/>
        <w:rPr>
          <w:rFonts w:ascii="Times New Roman" w:hAnsi="Times New Roman"/>
          <w:sz w:val="28"/>
          <w:szCs w:val="28"/>
        </w:rPr>
      </w:pPr>
      <w:r>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pPr>
        <w:pStyle w:val="ListParagraph"/>
        <w:tabs>
          <w:tab w:val="clear" w:pos="709"/>
          <w:tab w:val="left" w:pos="1276" w:leader="none"/>
        </w:tabs>
        <w:ind w:firstLine="567" w:left="0"/>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clear" w:pos="709"/>
          <w:tab w:val="left" w:pos="1276" w:leader="none"/>
        </w:tabs>
        <w:ind w:firstLine="567" w:left="0"/>
        <w:rPr>
          <w:rFonts w:ascii="Times New Roman" w:hAnsi="Times New Roman"/>
          <w:b/>
          <w:sz w:val="28"/>
          <w:szCs w:val="28"/>
        </w:rPr>
      </w:pPr>
      <w:r>
        <w:rPr>
          <w:rFonts w:ascii="Times New Roman" w:hAnsi="Times New Roman"/>
          <w:b/>
          <w:sz w:val="28"/>
          <w:szCs w:val="28"/>
        </w:rPr>
        <w:t>Иные доходы</w:t>
      </w:r>
    </w:p>
    <w:p>
      <w:pPr>
        <w:pStyle w:val="BodyText"/>
        <w:numPr>
          <w:ilvl w:val="0"/>
          <w:numId w:val="1"/>
        </w:numPr>
        <w:shd w:val="clear" w:color="auto" w:fill="auto"/>
        <w:tabs>
          <w:tab w:val="clear" w:pos="709"/>
          <w:tab w:val="left" w:pos="142" w:leader="none"/>
        </w:tabs>
        <w:spacing w:lineRule="auto" w:line="240" w:before="0" w:after="0"/>
        <w:ind w:firstLine="567" w:left="0"/>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В данной строке указываются доходы, которые не были отражены в вышеуказанных строках справки. </w:t>
      </w:r>
    </w:p>
    <w:p>
      <w:pPr>
        <w:pStyle w:val="BodyText"/>
        <w:shd w:val="clear" w:color="auto" w:fill="auto"/>
        <w:tabs>
          <w:tab w:val="clear" w:pos="709"/>
          <w:tab w:val="left" w:pos="142"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Так, например, в строке </w:t>
      </w:r>
      <w:r>
        <w:rPr>
          <w:rStyle w:val="Style12"/>
          <w:rFonts w:cs="Times New Roman" w:ascii="Times New Roman" w:hAnsi="Times New Roman"/>
          <w:b/>
          <w:sz w:val="28"/>
          <w:szCs w:val="28"/>
        </w:rPr>
        <w:t>"Иные</w:t>
      </w:r>
      <w:r>
        <w:rPr>
          <w:rStyle w:val="Style12"/>
          <w:rFonts w:ascii="Times New Roman" w:hAnsi="Times New Roman"/>
          <w:b/>
          <w:sz w:val="28"/>
        </w:rPr>
        <w:t xml:space="preserve"> доходы</w:t>
      </w:r>
      <w:r>
        <w:rPr>
          <w:rStyle w:val="Style12"/>
          <w:rFonts w:cs="Times New Roman" w:ascii="Times New Roman" w:hAnsi="Times New Roman"/>
          <w:b/>
          <w:sz w:val="28"/>
          <w:szCs w:val="28"/>
        </w:rPr>
        <w:t>"</w:t>
      </w:r>
      <w:r>
        <w:rPr>
          <w:rStyle w:val="Style12"/>
          <w:rFonts w:cs="Times New Roman" w:ascii="Times New Roman" w:hAnsi="Times New Roman"/>
          <w:sz w:val="28"/>
          <w:szCs w:val="28"/>
        </w:rPr>
        <w:t xml:space="preserve"> могут быть указаны: </w:t>
      </w:r>
    </w:p>
    <w:p>
      <w:pPr>
        <w:pStyle w:val="BodyText"/>
        <w:numPr>
          <w:ilvl w:val="0"/>
          <w:numId w:val="6"/>
        </w:numPr>
        <w:shd w:val="clear" w:color="auto" w:fill="auto"/>
        <w:tabs>
          <w:tab w:val="clear" w:pos="709"/>
          <w:tab w:val="left" w:pos="142" w:leader="none"/>
          <w:tab w:val="left" w:pos="1134" w:leader="none"/>
        </w:tabs>
        <w:spacing w:lineRule="auto" w:line="240" w:before="0" w:after="0"/>
        <w:ind w:firstLine="567" w:left="0"/>
        <w:rPr>
          <w:rStyle w:val="Style12"/>
          <w:rFonts w:ascii="Times New Roman" w:hAnsi="Times New Roman" w:cs="Times New Roman"/>
          <w:sz w:val="28"/>
          <w:szCs w:val="28"/>
        </w:rPr>
      </w:pPr>
      <w:r>
        <w:rPr>
          <w:rStyle w:val="Style12"/>
          <w:rFonts w:cs="Times New Roman" w:ascii="Times New Roman" w:hAnsi="Times New Roman"/>
          <w:sz w:val="28"/>
          <w:szCs w:val="28"/>
        </w:rPr>
        <w:t xml:space="preserve">государственная и негосударственная пенсии </w:t>
      </w:r>
      <w:r>
        <w:rPr>
          <w:rFonts w:cs="Times New Roman" w:ascii="Times New Roman" w:hAnsi="Times New Roman"/>
          <w:sz w:val="28"/>
          <w:szCs w:val="28"/>
        </w:rPr>
        <w:t>(при этом разные виды пенсий (по возрасту и пенсия военнослужащего) не следует суммировать)</w:t>
      </w:r>
      <w:r>
        <w:rPr>
          <w:rStyle w:val="Style12"/>
          <w:rFonts w:cs="Times New Roman" w:ascii="Times New Roman" w:hAnsi="Times New Roman"/>
          <w:sz w:val="28"/>
          <w:szCs w:val="28"/>
        </w:rPr>
        <w:t>;</w:t>
      </w:r>
    </w:p>
    <w:p>
      <w:pPr>
        <w:pStyle w:val="BodyText"/>
        <w:numPr>
          <w:ilvl w:val="0"/>
          <w:numId w:val="6"/>
        </w:numPr>
        <w:shd w:val="clear" w:color="auto" w:fill="auto"/>
        <w:tabs>
          <w:tab w:val="clear" w:pos="709"/>
          <w:tab w:val="left" w:pos="142" w:leader="none"/>
          <w:tab w:val="left" w:pos="1134" w:leader="none"/>
        </w:tabs>
        <w:spacing w:lineRule="auto" w:line="240" w:before="0" w:after="0"/>
        <w:ind w:firstLine="567" w:left="0"/>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6"/>
        </w:numPr>
        <w:tabs>
          <w:tab w:val="clear" w:pos="709"/>
          <w:tab w:val="left" w:pos="142" w:leader="none"/>
          <w:tab w:val="left" w:pos="1134" w:leader="none"/>
        </w:tabs>
        <w:ind w:firstLine="567" w:left="0"/>
        <w:rPr>
          <w:color w:val="auto"/>
          <w:sz w:val="28"/>
          <w:szCs w:val="28"/>
        </w:rPr>
      </w:pPr>
      <w:r>
        <w:rPr>
          <w:rStyle w:val="Style12"/>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12"/>
          <w:rFonts w:cs="Times New Roman"/>
          <w:sz w:val="28"/>
          <w:szCs w:val="28"/>
        </w:rPr>
        <w:t xml:space="preserve"> и др.</w:t>
      </w:r>
      <w:r>
        <w:rPr>
          <w:color w:val="auto"/>
          <w:sz w:val="28"/>
          <w:szCs w:val="28"/>
        </w:rPr>
        <w:t xml:space="preserve">), если данные выплаты не были включены в Справку </w:t>
      </w:r>
      <w:r>
        <w:rPr>
          <w:sz w:val="28"/>
          <w:szCs w:val="28"/>
        </w:rPr>
        <w:t>о доходах и суммах налога физического лица</w:t>
      </w:r>
      <w:r>
        <w:rPr>
          <w:color w:val="auto"/>
          <w:sz w:val="28"/>
          <w:szCs w:val="28"/>
        </w:rPr>
        <w:t xml:space="preserve">,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BodyText"/>
        <w:numPr>
          <w:ilvl w:val="0"/>
          <w:numId w:val="6"/>
        </w:numPr>
        <w:shd w:val="clear" w:color="auto" w:fill="auto"/>
        <w:tabs>
          <w:tab w:val="clear" w:pos="709"/>
          <w:tab w:val="left" w:pos="142" w:leader="none"/>
          <w:tab w:val="left" w:pos="1134" w:leader="none"/>
        </w:tabs>
        <w:spacing w:lineRule="auto" w:line="240" w:before="0" w:after="0"/>
        <w:ind w:firstLine="567" w:left="0"/>
        <w:rPr>
          <w:rStyle w:val="Style12"/>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BodyText"/>
        <w:numPr>
          <w:ilvl w:val="0"/>
          <w:numId w:val="6"/>
        </w:numPr>
        <w:shd w:val="clear" w:color="auto" w:fill="auto"/>
        <w:tabs>
          <w:tab w:val="clear" w:pos="709"/>
          <w:tab w:val="left" w:pos="142" w:leader="none"/>
          <w:tab w:val="left" w:pos="1134" w:leader="none"/>
        </w:tabs>
        <w:spacing w:lineRule="auto" w:line="240" w:before="0" w:after="0"/>
        <w:ind w:firstLine="567" w:left="0"/>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Pr>
          <w:rStyle w:val="Style12"/>
          <w:rFonts w:ascii="Times New Roman" w:hAnsi="Times New Roman"/>
          <w:b/>
          <w:color w:val="000000"/>
          <w:sz w:val="28"/>
        </w:rPr>
        <w:t>"Иные доходы"</w:t>
      </w:r>
      <w:r>
        <w:rPr>
          <w:rStyle w:val="Style12"/>
          <w:rFonts w:cs="Times New Roman" w:ascii="Times New Roman" w:hAnsi="Times New Roman"/>
          <w:color w:val="000000"/>
          <w:sz w:val="28"/>
          <w:szCs w:val="28"/>
        </w:rPr>
        <w:t xml:space="preserve"> и в разделе 4 справки;</w:t>
      </w:r>
    </w:p>
    <w:p>
      <w:pPr>
        <w:pStyle w:val="BodyText"/>
        <w:numPr>
          <w:ilvl w:val="0"/>
          <w:numId w:val="6"/>
        </w:numPr>
        <w:shd w:val="clear" w:color="auto" w:fill="auto"/>
        <w:tabs>
          <w:tab w:val="clear" w:pos="709"/>
          <w:tab w:val="left" w:pos="142" w:leader="none"/>
          <w:tab w:val="left" w:pos="1134" w:leader="none"/>
        </w:tabs>
        <w:spacing w:lineRule="auto" w:line="240" w:before="0" w:after="0"/>
        <w:ind w:firstLine="567" w:left="0"/>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стипендия;</w:t>
      </w:r>
    </w:p>
    <w:p>
      <w:pPr>
        <w:pStyle w:val="ListParagraph"/>
        <w:numPr>
          <w:ilvl w:val="0"/>
          <w:numId w:val="6"/>
        </w:numPr>
        <w:tabs>
          <w:tab w:val="clear" w:pos="709"/>
          <w:tab w:val="left" w:pos="142" w:leader="none"/>
          <w:tab w:val="left" w:pos="1134" w:leader="none"/>
        </w:tabs>
        <w:ind w:firstLine="567" w:left="0"/>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BodyText"/>
        <w:numPr>
          <w:ilvl w:val="0"/>
          <w:numId w:val="6"/>
        </w:numPr>
        <w:shd w:val="clear" w:color="auto" w:fill="auto"/>
        <w:tabs>
          <w:tab w:val="clear" w:pos="709"/>
          <w:tab w:val="left" w:pos="142" w:leader="none"/>
          <w:tab w:val="left" w:pos="1134" w:leader="none"/>
        </w:tabs>
        <w:spacing w:lineRule="auto" w:line="240" w:before="0" w:after="0"/>
        <w:ind w:firstLine="567" w:left="0"/>
        <w:rPr>
          <w:rStyle w:val="Style12"/>
          <w:rFonts w:ascii="Times New Roman" w:hAnsi="Times New Roman" w:cs="Times New Roman"/>
          <w:sz w:val="28"/>
          <w:szCs w:val="28"/>
        </w:rPr>
      </w:pPr>
      <w:r>
        <w:rPr>
          <w:rStyle w:val="Style12"/>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BodyText"/>
        <w:numPr>
          <w:ilvl w:val="0"/>
          <w:numId w:val="6"/>
        </w:numPr>
        <w:shd w:val="clear" w:color="auto" w:fill="auto"/>
        <w:tabs>
          <w:tab w:val="clear" w:pos="709"/>
          <w:tab w:val="left" w:pos="142" w:leader="none"/>
          <w:tab w:val="left" w:pos="1134" w:leader="none"/>
        </w:tabs>
        <w:spacing w:lineRule="auto" w:line="240" w:before="0" w:after="0"/>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p>
    <w:p>
      <w:pPr>
        <w:pStyle w:val="BodyText"/>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2"/>
          <w:rFonts w:cs="Times New Roman"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BodyText"/>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BodyText"/>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2"/>
          <w:rFonts w:cs="Times New Roman" w:ascii="Times New Roman" w:hAnsi="Times New Roman"/>
          <w:color w:val="000000"/>
          <w:sz w:val="28"/>
          <w:szCs w:val="28"/>
        </w:rPr>
        <w:t xml:space="preserve">При этом </w:t>
      </w:r>
      <w:r>
        <w:rPr>
          <w:rStyle w:val="Style12"/>
          <w:rFonts w:cs="Times New Roman" w:ascii="Times New Roman" w:hAnsi="Times New Roman"/>
          <w:sz w:val="28"/>
          <w:szCs w:val="28"/>
        </w:rPr>
        <w:t xml:space="preserve">рекомендуется </w:t>
      </w:r>
      <w:r>
        <w:rPr>
          <w:rStyle w:val="Style12"/>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sz w:val="28"/>
        </w:rPr>
        <w:t>"Иные доходы"</w:t>
      </w:r>
      <w:r>
        <w:rPr>
          <w:rFonts w:cs="Times New Roman" w:ascii="Times New Roman" w:hAnsi="Times New Roman"/>
          <w:sz w:val="28"/>
          <w:szCs w:val="28"/>
        </w:rPr>
        <w:t>).</w:t>
      </w:r>
    </w:p>
    <w:p>
      <w:pPr>
        <w:pStyle w:val="BodyText"/>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pPr>
        <w:pStyle w:val="BodyText"/>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BodyText"/>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BodyText"/>
        <w:numPr>
          <w:ilvl w:val="0"/>
          <w:numId w:val="6"/>
        </w:numPr>
        <w:shd w:val="clear" w:color="auto" w:fill="auto"/>
        <w:tabs>
          <w:tab w:val="clear" w:pos="709"/>
          <w:tab w:val="left" w:pos="142" w:leader="none"/>
          <w:tab w:val="left" w:pos="710" w:leader="none"/>
        </w:tabs>
        <w:spacing w:lineRule="auto" w:line="240" w:before="0" w:after="0"/>
        <w:ind w:firstLine="567" w:left="0"/>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BodyText"/>
        <w:numPr>
          <w:ilvl w:val="0"/>
          <w:numId w:val="6"/>
        </w:numPr>
        <w:shd w:val="clear" w:color="auto" w:fill="auto"/>
        <w:tabs>
          <w:tab w:val="clear" w:pos="709"/>
          <w:tab w:val="left" w:pos="142" w:leader="none"/>
          <w:tab w:val="left" w:pos="1134" w:leader="none"/>
        </w:tabs>
        <w:spacing w:lineRule="auto" w:line="240" w:before="0" w:after="0"/>
        <w:ind w:firstLine="567" w:left="0"/>
        <w:rPr>
          <w:rStyle w:val="111"/>
          <w:rFonts w:ascii="Times New Roman" w:hAnsi="Times New Roman"/>
          <w:sz w:val="28"/>
          <w:szCs w:val="28"/>
          <w:shd w:fill="FFFFFF" w:val="clear"/>
        </w:rPr>
      </w:pPr>
      <w:r>
        <w:rPr>
          <w:rStyle w:val="Style12"/>
          <w:rFonts w:cs="Times New Roman" w:ascii="Times New Roman" w:hAnsi="Times New Roman"/>
          <w:sz w:val="28"/>
          <w:szCs w:val="28"/>
        </w:rPr>
        <w:t xml:space="preserve">доходы по трудовым договорам по совместительству.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адрес места нахождения </w:t>
      </w:r>
      <w:r>
        <w:rPr>
          <w:rStyle w:val="111"/>
          <w:rFonts w:ascii="Times New Roman" w:hAnsi="Times New Roman"/>
          <w:color w:val="000000"/>
          <w:sz w:val="28"/>
          <w:szCs w:val="28"/>
        </w:rPr>
        <w:t xml:space="preserve">организации, от которой был получен доход; </w:t>
      </w:r>
    </w:p>
    <w:p>
      <w:pPr>
        <w:pStyle w:val="BodyText"/>
        <w:numPr>
          <w:ilvl w:val="0"/>
          <w:numId w:val="6"/>
        </w:numPr>
        <w:shd w:val="clear" w:color="auto" w:fill="auto"/>
        <w:tabs>
          <w:tab w:val="clear" w:pos="709"/>
          <w:tab w:val="left" w:pos="142" w:leader="none"/>
          <w:tab w:val="left" w:pos="1134" w:leader="none"/>
        </w:tabs>
        <w:spacing w:lineRule="auto" w:line="240" w:before="0" w:after="0"/>
        <w:ind w:firstLine="567" w:left="0"/>
        <w:rPr>
          <w:rStyle w:val="111"/>
          <w:rFonts w:ascii="Times New Roman" w:hAnsi="Times New Roman"/>
          <w:sz w:val="28"/>
          <w:szCs w:val="28"/>
          <w:shd w:fill="FFFFFF" w:val="clear"/>
        </w:rPr>
      </w:pPr>
      <w:r>
        <w:rPr>
          <w:rStyle w:val="Style12"/>
          <w:rFonts w:cs="Times New Roman" w:ascii="Times New Roman" w:hAnsi="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Style12"/>
          <w:rFonts w:ascii="Times New Roman" w:hAnsi="Times New Roman"/>
          <w:b/>
          <w:sz w:val="28"/>
        </w:rPr>
        <w:t>"Доход от ценных бумаг и долей участия в коммерческих организациях"</w:t>
      </w:r>
      <w:r>
        <w:rPr>
          <w:rStyle w:val="Style12"/>
          <w:rFonts w:cs="Times New Roman" w:ascii="Times New Roman" w:hAnsi="Times New Roman"/>
          <w:sz w:val="28"/>
          <w:szCs w:val="28"/>
        </w:rPr>
        <w:t>;</w:t>
      </w:r>
    </w:p>
    <w:p>
      <w:pPr>
        <w:pStyle w:val="BodyText"/>
        <w:numPr>
          <w:ilvl w:val="0"/>
          <w:numId w:val="6"/>
        </w:numPr>
        <w:shd w:val="clear" w:color="auto" w:fill="auto"/>
        <w:tabs>
          <w:tab w:val="clear" w:pos="709"/>
          <w:tab w:val="left" w:pos="142" w:leader="none"/>
          <w:tab w:val="left" w:pos="1134" w:leader="none"/>
        </w:tabs>
        <w:spacing w:lineRule="auto" w:line="240" w:before="0" w:after="0"/>
        <w:ind w:firstLine="567" w:left="0"/>
        <w:rPr>
          <w:rStyle w:val="111"/>
          <w:rFonts w:ascii="Times New Roman" w:hAnsi="Times New Roman"/>
          <w:color w:val="000000"/>
          <w:sz w:val="28"/>
          <w:szCs w:val="28"/>
        </w:rPr>
      </w:pPr>
      <w:r>
        <w:rPr>
          <w:rStyle w:val="Style12"/>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место нахождения </w:t>
      </w:r>
      <w:r>
        <w:rPr>
          <w:rStyle w:val="111"/>
          <w:rFonts w:ascii="Times New Roman" w:hAnsi="Times New Roman"/>
          <w:color w:val="000000"/>
          <w:sz w:val="28"/>
          <w:szCs w:val="28"/>
        </w:rPr>
        <w:t xml:space="preserve">организации, от которой был получен доход, или </w:t>
      </w:r>
      <w:r>
        <w:rPr>
          <w:rFonts w:ascii="Times New Roman" w:hAnsi="Times New Roman"/>
          <w:sz w:val="28"/>
          <w:szCs w:val="28"/>
        </w:rPr>
        <w:t>фамилию, имя и отчество соответствующего лица</w:t>
      </w:r>
      <w:r>
        <w:rPr>
          <w:rStyle w:val="111"/>
          <w:rFonts w:ascii="Times New Roman" w:hAnsi="Times New Roman"/>
          <w:color w:val="000000"/>
          <w:sz w:val="28"/>
          <w:szCs w:val="28"/>
        </w:rPr>
        <w:t xml:space="preserve">; </w:t>
      </w:r>
    </w:p>
    <w:p>
      <w:pPr>
        <w:pStyle w:val="BodyText"/>
        <w:numPr>
          <w:ilvl w:val="0"/>
          <w:numId w:val="6"/>
        </w:numPr>
        <w:shd w:val="clear" w:color="auto" w:fill="auto"/>
        <w:tabs>
          <w:tab w:val="clear" w:pos="709"/>
          <w:tab w:val="left" w:pos="142" w:leader="none"/>
          <w:tab w:val="left" w:pos="1134" w:leader="none"/>
        </w:tabs>
        <w:spacing w:lineRule="auto" w:line="240" w:before="0" w:after="0"/>
        <w:ind w:firstLine="567" w:left="0"/>
        <w:rPr>
          <w:rFonts w:ascii="Times New Roman" w:hAnsi="Times New Roman" w:cs="Times New Roman"/>
          <w:color w:val="000000"/>
          <w:sz w:val="28"/>
          <w:szCs w:val="28"/>
          <w:shd w:fill="FFFFFF" w:val="clear"/>
        </w:rPr>
      </w:pPr>
      <w:r>
        <w:rPr>
          <w:rFonts w:eastAsia="Times New Roman" w:cs="Times New Roman" w:ascii="Times New Roman" w:hAnsi="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sz w:val="28"/>
        </w:rPr>
        <w:t>"Иное недвижимое имущество"</w:t>
      </w:r>
      <w:r>
        <w:rPr>
          <w:rFonts w:eastAsia="Times New Roman" w:cs="Times New Roman" w:ascii="Times New Roman" w:hAnsi="Times New Roman"/>
          <w:sz w:val="28"/>
          <w:szCs w:val="28"/>
          <w:lang w:eastAsia="ru-RU"/>
        </w:rPr>
        <w:t xml:space="preserve"> подраздела 3.1 раздела 3 справки);</w:t>
      </w:r>
    </w:p>
    <w:p>
      <w:pPr>
        <w:pStyle w:val="BodyText"/>
        <w:numPr>
          <w:ilvl w:val="0"/>
          <w:numId w:val="6"/>
        </w:numPr>
        <w:shd w:val="clear" w:color="auto" w:fill="auto"/>
        <w:tabs>
          <w:tab w:val="clear" w:pos="709"/>
          <w:tab w:val="left" w:pos="142" w:leader="none"/>
          <w:tab w:val="left" w:pos="1134" w:leader="none"/>
        </w:tabs>
        <w:spacing w:lineRule="auto" w:line="240" w:before="0" w:after="0"/>
        <w:ind w:firstLine="567" w:left="0"/>
        <w:rPr>
          <w:rStyle w:val="Style12"/>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BodyText"/>
        <w:numPr>
          <w:ilvl w:val="0"/>
          <w:numId w:val="6"/>
        </w:numPr>
        <w:shd w:val="clear" w:color="auto" w:fill="auto"/>
        <w:tabs>
          <w:tab w:val="clear" w:pos="709"/>
          <w:tab w:val="left" w:pos="142" w:leader="none"/>
          <w:tab w:val="left" w:pos="1134" w:leader="none"/>
        </w:tabs>
        <w:spacing w:lineRule="auto" w:line="240" w:before="0" w:after="0"/>
        <w:ind w:firstLine="567" w:left="0"/>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 При этом рекомендуется указать</w:t>
      </w:r>
      <w:r>
        <w:rPr>
          <w:rStyle w:val="111"/>
          <w:rFonts w:ascii="Times New Roman" w:hAnsi="Times New Roman"/>
          <w:color w:val="000000"/>
          <w:sz w:val="28"/>
          <w:szCs w:val="28"/>
        </w:rPr>
        <w:t xml:space="preserve"> </w:t>
      </w:r>
      <w:r>
        <w:rPr>
          <w:rFonts w:ascii="Times New Roman" w:hAnsi="Times New Roman"/>
          <w:sz w:val="28"/>
          <w:szCs w:val="28"/>
        </w:rPr>
        <w:t>фамилию, имя и отчество соответствующего дарителя или наследодателя соответственно</w:t>
      </w:r>
      <w:r>
        <w:rPr>
          <w:rFonts w:cs="Times New Roman" w:ascii="Times New Roman" w:hAnsi="Times New Roman"/>
          <w:sz w:val="28"/>
          <w:szCs w:val="28"/>
        </w:rPr>
        <w:t>;</w:t>
      </w:r>
    </w:p>
    <w:p>
      <w:pPr>
        <w:pStyle w:val="Default"/>
        <w:numPr>
          <w:ilvl w:val="0"/>
          <w:numId w:val="6"/>
        </w:numPr>
        <w:tabs>
          <w:tab w:val="clear" w:pos="709"/>
          <w:tab w:val="left" w:pos="142" w:leader="none"/>
          <w:tab w:val="left" w:pos="1134" w:leader="none"/>
          <w:tab w:val="left" w:pos="1560" w:leader="none"/>
        </w:tabs>
        <w:ind w:firstLine="567" w:left="0"/>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6"/>
        </w:numPr>
        <w:tabs>
          <w:tab w:val="clear" w:pos="709"/>
          <w:tab w:val="left" w:pos="142" w:leader="none"/>
          <w:tab w:val="left" w:pos="1134" w:leader="none"/>
          <w:tab w:val="left" w:pos="1560" w:leader="none"/>
        </w:tabs>
        <w:ind w:firstLine="567" w:left="0"/>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6"/>
        </w:numPr>
        <w:tabs>
          <w:tab w:val="clear" w:pos="709"/>
          <w:tab w:val="left" w:pos="142" w:leader="none"/>
          <w:tab w:val="left" w:pos="1134" w:leader="none"/>
          <w:tab w:val="left" w:pos="1560" w:leader="none"/>
        </w:tabs>
        <w:ind w:firstLine="567" w:left="0"/>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6"/>
        </w:numPr>
        <w:tabs>
          <w:tab w:val="clear" w:pos="709"/>
          <w:tab w:val="left" w:pos="142" w:leader="none"/>
          <w:tab w:val="left" w:pos="1134" w:leader="none"/>
          <w:tab w:val="left" w:pos="1560" w:leader="none"/>
        </w:tabs>
        <w:ind w:firstLine="567" w:left="0"/>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w:t>
      </w:r>
      <w:r>
        <w:rPr>
          <w:sz w:val="28"/>
          <w:szCs w:val="28"/>
        </w:rPr>
        <w:t>о доходах и суммах налога физического лица</w:t>
      </w:r>
      <w:r>
        <w:rPr>
          <w:sz w:val="28"/>
        </w:rPr>
        <w:t xml:space="preserve"> </w:t>
      </w:r>
      <w:r>
        <w:rPr>
          <w:color w:val="auto"/>
          <w:sz w:val="28"/>
          <w:szCs w:val="28"/>
        </w:rPr>
        <w:t xml:space="preserve">по месту службы (работы) и не отражены в строке </w:t>
      </w:r>
      <w:r>
        <w:rPr>
          <w:b/>
          <w:color w:val="auto"/>
          <w:sz w:val="28"/>
        </w:rPr>
        <w:t>"Доход по основному месту работы"</w:t>
      </w:r>
      <w:r>
        <w:rPr>
          <w:color w:val="auto"/>
          <w:sz w:val="28"/>
          <w:szCs w:val="28"/>
        </w:rPr>
        <w:t xml:space="preserve">; </w:t>
      </w:r>
    </w:p>
    <w:p>
      <w:pPr>
        <w:pStyle w:val="ListParagraph"/>
        <w:numPr>
          <w:ilvl w:val="0"/>
          <w:numId w:val="6"/>
        </w:numPr>
        <w:tabs>
          <w:tab w:val="clear" w:pos="709"/>
          <w:tab w:val="left" w:pos="142" w:leader="none"/>
          <w:tab w:val="left" w:pos="1134" w:leader="none"/>
        </w:tabs>
        <w:ind w:firstLine="567" w:left="0"/>
        <w:rPr>
          <w:rFonts w:ascii="Times New Roman" w:hAnsi="Times New Roman" w:eastAsia="Times New Roman"/>
          <w:sz w:val="28"/>
          <w:szCs w:val="28"/>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6"/>
        </w:numPr>
        <w:tabs>
          <w:tab w:val="clear" w:pos="709"/>
          <w:tab w:val="left" w:pos="142" w:leader="none"/>
          <w:tab w:val="left" w:pos="1134" w:leader="none"/>
        </w:tabs>
        <w:ind w:firstLine="567" w:left="0"/>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6"/>
        </w:numPr>
        <w:tabs>
          <w:tab w:val="clear" w:pos="709"/>
          <w:tab w:val="left" w:pos="142" w:leader="none"/>
          <w:tab w:val="left" w:pos="1134" w:leader="none"/>
        </w:tabs>
        <w:ind w:firstLine="567" w:left="0"/>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6"/>
        </w:numPr>
        <w:ind w:firstLine="567" w:left="0"/>
        <w:rPr>
          <w:rFonts w:ascii="Times New Roman" w:hAnsi="Times New Roman"/>
          <w:sz w:val="28"/>
          <w:szCs w:val="28"/>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BodyText"/>
        <w:numPr>
          <w:ilvl w:val="0"/>
          <w:numId w:val="6"/>
        </w:numPr>
        <w:shd w:val="clear" w:color="auto" w:fill="auto"/>
        <w:tabs>
          <w:tab w:val="clear" w:pos="709"/>
          <w:tab w:val="left" w:pos="142" w:leader="none"/>
          <w:tab w:val="left" w:pos="1276" w:leader="none"/>
        </w:tabs>
        <w:spacing w:lineRule="auto" w:line="240" w:before="0" w:after="0"/>
        <w:ind w:firstLine="567" w:left="0"/>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BodyText"/>
        <w:numPr>
          <w:ilvl w:val="0"/>
          <w:numId w:val="6"/>
        </w:numPr>
        <w:shd w:val="clear" w:color="auto" w:fill="auto"/>
        <w:tabs>
          <w:tab w:val="clear" w:pos="709"/>
          <w:tab w:val="left" w:pos="851" w:leader="none"/>
          <w:tab w:val="left" w:pos="1134" w:leader="none"/>
        </w:tabs>
        <w:spacing w:lineRule="auto" w:line="240" w:before="0" w:after="0"/>
        <w:ind w:firstLine="567" w:left="0"/>
        <w:rPr>
          <w:rFonts w:ascii="Times New Roman" w:hAnsi="Times New Roman" w:cs="Times New Roman"/>
          <w:color w:val="000000"/>
          <w:sz w:val="28"/>
          <w:szCs w:val="28"/>
          <w:shd w:fill="FFFFFF" w:val="clear"/>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b/>
          <w:sz w:val="28"/>
        </w:rPr>
        <w:t>"Доход от педагогической и научной деятельности</w:t>
      </w:r>
      <w:r>
        <w:rPr>
          <w:rFonts w:eastAsia="Times New Roman" w:ascii="Times New Roman" w:hAnsi="Times New Roman"/>
          <w:b/>
          <w:sz w:val="28"/>
          <w:szCs w:val="28"/>
          <w:lang w:eastAsia="ru-RU"/>
        </w:rPr>
        <w:t>"</w:t>
      </w:r>
      <w:r>
        <w:rPr>
          <w:rFonts w:ascii="Times New Roman" w:hAnsi="Times New Roman"/>
          <w:sz w:val="28"/>
          <w:szCs w:val="28"/>
        </w:rPr>
        <w:t xml:space="preserve">, результаты иной творческой деятельности – в строке </w:t>
      </w:r>
      <w:r>
        <w:rPr>
          <w:rFonts w:ascii="Times New Roman" w:hAnsi="Times New Roman"/>
          <w:b/>
          <w:sz w:val="28"/>
        </w:rPr>
        <w:t>"Доход от иной творческой деятельности</w:t>
      </w:r>
      <w:r>
        <w:rPr>
          <w:rFonts w:eastAsia="Times New Roman" w:ascii="Times New Roman" w:hAnsi="Times New Roman"/>
          <w:b/>
          <w:sz w:val="28"/>
          <w:szCs w:val="28"/>
          <w:lang w:eastAsia="ru-RU"/>
        </w:rPr>
        <w:t>"</w:t>
      </w:r>
      <w:r>
        <w:rPr>
          <w:rFonts w:ascii="Times New Roman" w:hAnsi="Times New Roman"/>
          <w:sz w:val="28"/>
          <w:szCs w:val="28"/>
        </w:rPr>
        <w:t>;</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2"/>
          <w:rFonts w:cs="Times New Roman" w:ascii="Times New Roman" w:hAnsi="Times New Roman"/>
          <w:color w:val="000000"/>
          <w:sz w:val="28"/>
          <w:szCs w:val="28"/>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pPr>
        <w:pStyle w:val="ListParagraph"/>
        <w:numPr>
          <w:ilvl w:val="0"/>
          <w:numId w:val="6"/>
        </w:numPr>
        <w:tabs>
          <w:tab w:val="clear" w:pos="709"/>
          <w:tab w:val="left" w:pos="1276" w:leader="none"/>
        </w:tabs>
        <w:ind w:firstLine="567" w:left="0"/>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firstLine="567" w:left="0"/>
        <w:rPr>
          <w:rFonts w:ascii="Times New Roman" w:hAnsi="Times New Roman" w:eastAsia="Times New Roman"/>
          <w:sz w:val="28"/>
          <w:szCs w:val="28"/>
        </w:rPr>
      </w:pPr>
      <w:r>
        <w:rPr>
          <w:rFonts w:eastAsia="Times New Roman" w:ascii="Times New Roman" w:hAnsi="Times New Roman"/>
          <w:sz w:val="28"/>
          <w:szCs w:val="28"/>
          <w:lang w:eastAsia="ru-RU"/>
        </w:rPr>
        <w:t xml:space="preserve">Также в строке </w:t>
      </w:r>
      <w:r>
        <w:rPr>
          <w:rFonts w:ascii="Times New Roman" w:hAnsi="Times New Roman"/>
          <w:b/>
          <w:sz w:val="28"/>
        </w:rPr>
        <w:t xml:space="preserve">"Иные доходы" </w:t>
      </w:r>
      <w:r>
        <w:rPr>
          <w:rFonts w:eastAsia="Times New Roman" w:ascii="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pPr>
        <w:pStyle w:val="Normal"/>
        <w:ind w:firstLine="567"/>
        <w:rPr>
          <w:rFonts w:ascii="Times New Roman" w:hAnsi="Times New Roman" w:eastAsia="Times New Roman"/>
          <w:sz w:val="28"/>
          <w:szCs w:val="28"/>
        </w:rPr>
      </w:pPr>
      <w:r>
        <w:rPr>
          <w:rFonts w:eastAsia="Times New Roman" w:ascii="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firstLine="567" w:left="0"/>
        <w:rPr>
          <w:rFonts w:ascii="Times New Roman" w:hAnsi="Times New Roman" w:eastAsia="Times New Roman"/>
          <w:sz w:val="28"/>
          <w:szCs w:val="28"/>
        </w:rPr>
      </w:pPr>
      <w:r>
        <w:rPr>
          <w:rFonts w:eastAsia="Times New Roman"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w:t>
      </w:r>
      <w:r>
        <w:rPr>
          <w:rFonts w:ascii="Times New Roman" w:hAnsi="Times New Roman"/>
          <w:sz w:val="28"/>
          <w:szCs w:val="28"/>
        </w:rPr>
        <w:t xml:space="preserve"> </w:t>
      </w:r>
      <w:r>
        <w:rPr>
          <w:rFonts w:eastAsia="Times New Roman" w:ascii="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Методических рекомендаций).</w:t>
      </w:r>
    </w:p>
    <w:p>
      <w:pPr>
        <w:pStyle w:val="ListParagraph"/>
        <w:numPr>
          <w:ilvl w:val="0"/>
          <w:numId w:val="1"/>
        </w:numPr>
        <w:ind w:firstLine="567" w:left="0"/>
        <w:rPr>
          <w:rFonts w:ascii="Times New Roman" w:hAnsi="Times New Roman" w:eastAsia="Times New Roman"/>
          <w:sz w:val="28"/>
          <w:szCs w:val="28"/>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ListParagraph"/>
        <w:numPr>
          <w:ilvl w:val="0"/>
          <w:numId w:val="1"/>
        </w:numPr>
        <w:ind w:firstLine="567" w:left="0"/>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 xml:space="preserve">рупционного законодательства в строке </w:t>
      </w:r>
      <w:r>
        <w:rPr>
          <w:rFonts w:ascii="Times New Roman" w:hAnsi="Times New Roman"/>
          <w:b/>
          <w:sz w:val="28"/>
        </w:rPr>
        <w:t>"Иные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firstLine="567" w:left="0"/>
        <w:rPr>
          <w:rFonts w:ascii="Times New Roman" w:hAnsi="Times New Roman"/>
          <w:sz w:val="28"/>
          <w:szCs w:val="28"/>
          <w:lang w:eastAsia="ru-RU"/>
        </w:rPr>
      </w:pPr>
      <w:r>
        <w:rPr>
          <w:rFonts w:ascii="Times New Roman" w:hAnsi="Times New Roman"/>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w:t>
      </w:r>
      <w:r>
        <w:rPr>
          <w:rFonts w:ascii="Times New Roman" w:hAnsi="Times New Roman"/>
          <w:sz w:val="28"/>
          <w:szCs w:val="28"/>
          <w:lang w:eastAsia="ru-RU"/>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 салонами красоты и пр.;</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2"/>
          <w:rFonts w:cs="Times New Roman" w:ascii="Times New Roman" w:hAnsi="Times New Roman"/>
          <w:color w:val="000000"/>
          <w:sz w:val="28"/>
          <w:szCs w:val="28"/>
        </w:rPr>
        <w:t>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2"/>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2"/>
          <w:rFonts w:cs="Times New Roman" w:ascii="Times New Roman" w:hAnsi="Times New Roman"/>
          <w:color w:val="000000"/>
          <w:sz w:val="28"/>
          <w:szCs w:val="28"/>
        </w:rPr>
        <w:t xml:space="preserve"> Федеральным законом</w:t>
      </w:r>
      <w:r>
        <w:rPr>
          <w:rFonts w:ascii="Times New Roman" w:hAnsi="Times New Roman"/>
          <w:sz w:val="28"/>
          <w:szCs w:val="28"/>
        </w:rPr>
        <w:t xml:space="preserve"> </w:t>
      </w:r>
      <w:r>
        <w:rPr>
          <w:rStyle w:val="Style12"/>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firstLine="709" w:left="0"/>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lang w:eastAsia="ru-RU"/>
        </w:rPr>
        <w:t xml:space="preserve">не подлежит отражению в разделе 1 справки. </w:t>
      </w:r>
    </w:p>
    <w:p>
      <w:pPr>
        <w:pStyle w:val="ListParagraph"/>
        <w:ind w:firstLine="709" w:left="0"/>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hanging="0" w:left="567"/>
        <w:rPr>
          <w:rFonts w:ascii="Times New Roman" w:hAnsi="Times New Roman"/>
          <w:sz w:val="28"/>
          <w:szCs w:val="28"/>
        </w:rPr>
      </w:pPr>
      <w:r>
        <w:rPr>
          <w:rFonts w:ascii="Times New Roman" w:hAnsi="Times New Roman"/>
          <w:sz w:val="28"/>
          <w:szCs w:val="28"/>
        </w:rPr>
      </w:r>
    </w:p>
    <w:p>
      <w:pPr>
        <w:pStyle w:val="Normal"/>
        <w:tabs>
          <w:tab w:val="left" w:pos="709" w:leader="none"/>
        </w:tabs>
        <w:ind w:hanging="0"/>
        <w:jc w:val="center"/>
        <w:rPr>
          <w:rFonts w:ascii="Times New Roman" w:hAnsi="Times New Roman"/>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b/>
          <w:sz w:val="28"/>
        </w:rPr>
        <w:t>"Сумма сделки"</w:t>
      </w:r>
      <w:r>
        <w:rPr>
          <w:rFonts w:ascii="Times New Roman" w:hAnsi="Times New Roman"/>
          <w:sz w:val="28"/>
          <w:szCs w:val="28"/>
        </w:rPr>
        <w:t xml:space="preserve"> применимых справок рекомендуется указывать полную стоимость.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firstLine="567" w:left="0"/>
        <w:rPr>
          <w:highlight w:val="none"/>
          <w:shd w:fill="FFFF00" w:val="clear"/>
        </w:rPr>
      </w:pPr>
      <w:r>
        <w:rPr>
          <w:rFonts w:ascii="Times New Roman" w:hAnsi="Times New Roman"/>
          <w:sz w:val="28"/>
          <w:szCs w:val="28"/>
          <w:shd w:fill="FFFF00" w:val="clear"/>
        </w:rPr>
        <w:t>Граждане, поступающие на службу (работу), раздел 2 справки не заполняют.</w:t>
      </w:r>
    </w:p>
    <w:p>
      <w:pPr>
        <w:pStyle w:val="ListParagraph"/>
        <w:ind w:firstLine="567" w:left="0"/>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86 настоящих Методических рекомендаций оснований не является нарушением.</w:t>
      </w:r>
    </w:p>
    <w:p>
      <w:pPr>
        <w:pStyle w:val="ListParagraph"/>
        <w:numPr>
          <w:ilvl w:val="0"/>
          <w:numId w:val="1"/>
        </w:numPr>
        <w:ind w:firstLine="567" w:left="0"/>
        <w:rPr>
          <w:rFonts w:ascii="Times New Roman" w:hAnsi="Times New Roman"/>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szCs w:val="28"/>
        </w:rPr>
        <w:t>жилищно-коммунальных услуг и т.п.</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ListParagraph"/>
        <w:ind w:firstLine="567" w:left="0"/>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clear" w:pos="709"/>
          <w:tab w:val="left" w:pos="0" w:leader="none"/>
          <w:tab w:val="left" w:pos="1418" w:leader="none"/>
        </w:tabs>
        <w:ind w:firstLine="567" w:left="0"/>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clear" w:pos="709"/>
          <w:tab w:val="left" w:pos="0" w:leader="none"/>
          <w:tab w:val="left" w:pos="1418" w:leader="none"/>
        </w:tabs>
        <w:ind w:firstLine="567" w:left="0"/>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firstLine="567" w:left="0"/>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При заполнении графы </w:t>
      </w:r>
      <w:r>
        <w:rPr>
          <w:rFonts w:ascii="Times New Roman" w:hAnsi="Times New Roman"/>
          <w:b/>
          <w:sz w:val="28"/>
        </w:rPr>
        <w:t>"</w:t>
      </w:r>
      <w:r>
        <w:rPr>
          <w:rFonts w:ascii="Times New Roman" w:hAnsi="Times New Roman"/>
          <w:b/>
          <w:sz w:val="28"/>
          <w:szCs w:val="28"/>
        </w:rPr>
        <w:t>Вид приобретенного имущества</w:t>
      </w:r>
      <w:r>
        <w:rPr>
          <w:rFonts w:ascii="Times New Roman" w:hAnsi="Times New Roman"/>
          <w:b/>
          <w:sz w:val="28"/>
        </w:rPr>
        <w:t>"</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При заполнении графы </w:t>
      </w:r>
      <w:r>
        <w:rPr>
          <w:rFonts w:ascii="Times New Roman" w:hAnsi="Times New Roman"/>
          <w:b/>
          <w:sz w:val="28"/>
        </w:rPr>
        <w:t>"</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b/>
          <w:sz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firstLine="567" w:left="0"/>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pPr>
      <w: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pPr>
      <w: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firstLine="567" w:left="0"/>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eastAsia="Times New Roman"/>
          <w:b/>
          <w:sz w:val="28"/>
          <w:szCs w:val="28"/>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8"/>
          <w:szCs w:val="28"/>
        </w:rPr>
      </w:pPr>
      <w:r>
        <w:rPr>
          <w:rFonts w:eastAsia="Times New Roman" w:ascii="Times New Roman" w:hAnsi="Times New Roman"/>
          <w:sz w:val="28"/>
          <w:szCs w:val="28"/>
        </w:rPr>
      </w:r>
    </w:p>
    <w:p>
      <w:pPr>
        <w:pStyle w:val="Normal"/>
        <w:rPr>
          <w:rFonts w:ascii="Times New Roman" w:hAnsi="Times New Roman" w:eastAsia="Times New Roman"/>
          <w:b/>
          <w:sz w:val="28"/>
          <w:szCs w:val="28"/>
        </w:rPr>
      </w:pPr>
      <w:r>
        <w:rPr>
          <w:rFonts w:eastAsia="Times New Roman" w:ascii="Times New Roman" w:hAnsi="Times New Roman"/>
          <w:b/>
          <w:sz w:val="28"/>
          <w:szCs w:val="28"/>
          <w:lang w:eastAsia="ru-RU"/>
        </w:rPr>
        <w:t>Подраздел 3.1 Недвижимое имущество</w:t>
      </w:r>
    </w:p>
    <w:p>
      <w:pPr>
        <w:pStyle w:val="ListParagraph"/>
        <w:ind w:hanging="0" w:left="567"/>
        <w:rPr>
          <w:rFonts w:ascii="Times New Roman" w:hAnsi="Times New Roman"/>
          <w:sz w:val="28"/>
          <w:szCs w:val="28"/>
        </w:rPr>
      </w:pPr>
      <w:r>
        <w:rPr>
          <w:rFonts w:ascii="Times New Roman" w:hAnsi="Times New Roman"/>
          <w:sz w:val="28"/>
          <w:szCs w:val="28"/>
        </w:rPr>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 Методических рекомендаций).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firstLine="567" w:left="0"/>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pPr>
        <w:pStyle w:val="ListParagraph"/>
        <w:numPr>
          <w:ilvl w:val="0"/>
          <w:numId w:val="1"/>
        </w:numPr>
        <w:ind w:firstLine="709" w:left="0"/>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firstLine="567" w:left="0"/>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firstLine="567" w:left="0"/>
        <w:outlineLvl w:val="1"/>
        <w:rPr>
          <w:rFonts w:ascii="Times New Roman" w:hAnsi="Times New Roman"/>
          <w:sz w:val="28"/>
          <w:szCs w:val="28"/>
        </w:rPr>
      </w:pPr>
      <w:r>
        <w:rPr>
          <w:rStyle w:val="Style12"/>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firstLine="567" w:left="0"/>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color w:val="000000"/>
          <w:sz w:val="28"/>
          <w:szCs w:val="28"/>
        </w:rPr>
        <w:t xml:space="preserve">При наличии в собственности </w:t>
      </w:r>
      <w:r>
        <w:rPr>
          <w:rStyle w:val="Style12"/>
          <w:rFonts w:cs="Times New Roman" w:ascii="Times New Roman" w:hAnsi="Times New Roman"/>
          <w:b/>
          <w:color w:val="000000"/>
          <w:sz w:val="28"/>
          <w:szCs w:val="28"/>
        </w:rPr>
        <w:t>жилого или садового дома,</w:t>
      </w:r>
      <w:r>
        <w:rPr>
          <w:rStyle w:val="Style12"/>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firstLine="567" w:left="0"/>
        <w:rPr>
          <w:rFonts w:ascii="Times New Roman" w:hAnsi="Times New Roman"/>
          <w:sz w:val="28"/>
          <w:szCs w:val="28"/>
        </w:rPr>
      </w:pPr>
      <w:r>
        <w:rPr>
          <w:rStyle w:val="Style12"/>
          <w:rFonts w:cs="Times New Roman" w:ascii="Times New Roman" w:hAnsi="Times New Roman"/>
          <w:color w:val="000000"/>
          <w:sz w:val="28"/>
          <w:szCs w:val="28"/>
        </w:rPr>
        <w:t>В строке "</w:t>
      </w:r>
      <w:r>
        <w:rPr>
          <w:rStyle w:val="Style12"/>
          <w:rFonts w:cs="Times New Roman" w:ascii="Times New Roman" w:hAnsi="Times New Roman"/>
          <w:b/>
          <w:color w:val="000000"/>
          <w:sz w:val="28"/>
          <w:szCs w:val="28"/>
        </w:rPr>
        <w:t>Гаражи</w:t>
      </w:r>
      <w:r>
        <w:rPr>
          <w:rStyle w:val="Style12"/>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2"/>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2"/>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b/>
          <w:sz w:val="28"/>
        </w:rPr>
        <w:t>"Вид собственности"</w:t>
      </w:r>
      <w:r>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firstLine="567" w:left="0"/>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firstLine="567" w:left="0"/>
        <w:rPr>
          <w:rStyle w:val="Style12"/>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2"/>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firstLine="567" w:left="0"/>
        <w:rPr>
          <w:rStyle w:val="Style12"/>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firstLine="567" w:left="0"/>
        <w:rPr>
          <w:rFonts w:ascii="Times New Roman" w:hAnsi="Times New Roman"/>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firstLine="567" w:left="0"/>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szCs w:val="28"/>
        </w:rPr>
        <w:t>или</w:t>
      </w:r>
      <w:r>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8" w:tgtFrame="https://lk.rosreestr.ru/eservices/real-estate-objects-online">
        <w:r>
          <w:rPr>
            <w:rStyle w:val="Hyperlink"/>
            <w:rFonts w:ascii="Times New Roman" w:hAnsi="Times New Roman"/>
            <w:sz w:val="28"/>
            <w:szCs w:val="28"/>
          </w:rPr>
          <w:t>https://lk.rosreestr.ru/eservices/real-estate-objects-online</w:t>
        </w:r>
      </w:hyperlink>
      <w:r>
        <w:rPr>
          <w:rFonts w:ascii="Times New Roman" w:hAnsi="Times New Roman"/>
          <w:sz w:val="28"/>
          <w:szCs w:val="28"/>
        </w:rPr>
        <w:t>).</w:t>
      </w:r>
    </w:p>
    <w:p>
      <w:pPr>
        <w:pStyle w:val="ListParagraph"/>
        <w:ind w:firstLine="567" w:left="0"/>
        <w:rPr>
          <w:rFonts w:ascii="Times New Roman" w:hAnsi="Times New Roman"/>
          <w:sz w:val="28"/>
          <w:szCs w:val="28"/>
        </w:rPr>
      </w:pPr>
      <w:r>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firstLine="567" w:left="0"/>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firstLine="567" w:left="0"/>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firstLine="567" w:left="0"/>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firstLine="567" w:left="0"/>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firstLine="567" w:left="0"/>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firstLine="567" w:left="0"/>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firstLine="567" w:left="0"/>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firstLine="567" w:left="0"/>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firstLine="567" w:left="0"/>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firstLine="567" w:left="0"/>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firstLine="567" w:left="0"/>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firstLine="567" w:left="0"/>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firstLine="567" w:left="0"/>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numPr>
          <w:ilvl w:val="0"/>
          <w:numId w:val="1"/>
        </w:numPr>
        <w:ind w:firstLine="709" w:left="0"/>
        <w:rPr>
          <w:rFonts w:ascii="Times New Roman" w:hAnsi="Times New Roman"/>
          <w:sz w:val="28"/>
          <w:szCs w:val="28"/>
        </w:rPr>
      </w:pPr>
      <w:r>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pPr>
        <w:pStyle w:val="ListParagraph"/>
        <w:ind w:firstLine="567" w:left="0"/>
        <w:rPr>
          <w:rFonts w:ascii="Times New Roman" w:hAnsi="Times New Roman"/>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firstLine="567" w:left="0"/>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firstLine="567" w:left="0"/>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firstLine="709" w:left="0"/>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9" w:tgtFrame="https://www.gibdd.ru/r/77/contacts/div1145039/">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20" w:tgtFrame="https://www.gibdd.ru/r/66/contacts/div1165058/">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21" w:tgtFrame="https://www.gibdd.ru/r/66/contacts/div1165043/">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согласно официальным документам (например,</w:t>
      </w:r>
      <w:r>
        <w:rPr>
          <w:rFonts w:eastAsia="Times New Roman" w:ascii="Times New Roman" w:hAnsi="Times New Roman"/>
          <w:sz w:val="28"/>
          <w:szCs w:val="28"/>
          <w:lang w:eastAsia="ru-RU"/>
        </w:rPr>
        <w:t xml:space="preserve">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firstLine="567" w:left="0"/>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firstLine="567" w:left="0"/>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"Иные транспортные средства"</w:t>
      </w:r>
      <w:r>
        <w:rPr>
          <w:rFonts w:ascii="Times New Roman" w:hAnsi="Times New Roman"/>
          <w:sz w:val="28"/>
          <w:szCs w:val="28"/>
        </w:rPr>
        <w:t xml:space="preserve"> подлежат указанию, в частности, прицепы, зарегистрированные в установленном порядке.</w:t>
      </w:r>
    </w:p>
    <w:p>
      <w:pPr>
        <w:pStyle w:val="ListParagraph"/>
        <w:ind w:firstLine="567" w:left="0"/>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ListParagraph"/>
        <w:widowControl w:val="false"/>
        <w:numPr>
          <w:ilvl w:val="0"/>
          <w:numId w:val="1"/>
        </w:numPr>
        <w:ind w:firstLine="567" w:left="0"/>
        <w:rPr>
          <w:rStyle w:val="Style12"/>
          <w:rFonts w:ascii="Times New Roman" w:hAnsi="Times New Roman" w:cs="Times New Roman"/>
          <w:b/>
          <w:sz w:val="28"/>
          <w:szCs w:val="28"/>
          <w:shd w:fill="auto" w:val="clear"/>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Normal"/>
        <w:widowControl w:val="false"/>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ListParagraph"/>
        <w:widowControl w:val="false"/>
        <w:numPr>
          <w:ilvl w:val="0"/>
          <w:numId w:val="1"/>
        </w:numPr>
        <w:ind w:firstLine="567" w:left="0"/>
        <w:rPr>
          <w:rStyle w:val="Style12"/>
          <w:rFonts w:ascii="Times New Roman" w:hAnsi="Times New Roman" w:cs="Times New Roman"/>
          <w:b/>
          <w:sz w:val="28"/>
          <w:szCs w:val="28"/>
          <w:shd w:fill="auto" w:val="clear"/>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Наименование цифрового финансового актива или цифрового права</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firstLine="567" w:left="0"/>
        <w:rPr>
          <w:rStyle w:val="Style12"/>
          <w:rFonts w:ascii="Times New Roman" w:hAnsi="Times New Roman" w:cs="Times New Roman"/>
          <w:b/>
          <w:sz w:val="28"/>
          <w:szCs w:val="28"/>
          <w:shd w:fill="auto" w:val="clear"/>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дата приобретения цифрового финансового актива</w:t>
      </w:r>
      <w:r>
        <w:rPr>
          <w:rFonts w:ascii="Times New Roman" w:hAnsi="Times New Roman"/>
          <w:sz w:val="28"/>
          <w:szCs w:val="28"/>
        </w:rPr>
        <w:t>, цифрового права, включающего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иного цифрового права.</w:t>
      </w:r>
    </w:p>
    <w:p>
      <w:pPr>
        <w:pStyle w:val="ListParagraph"/>
        <w:widowControl w:val="false"/>
        <w:numPr>
          <w:ilvl w:val="0"/>
          <w:numId w:val="1"/>
        </w:numPr>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Общее количество</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общее количество приобретенных цифровых финансовых активов</w:t>
      </w:r>
      <w:r>
        <w:rPr>
          <w:rFonts w:ascii="Times New Roman" w:hAnsi="Times New Roman"/>
          <w:sz w:val="28"/>
          <w:szCs w:val="28"/>
        </w:rPr>
        <w:t>, цифровых прав, включающих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цифровых прав.</w:t>
      </w:r>
    </w:p>
    <w:p>
      <w:pPr>
        <w:pStyle w:val="ListParagraph"/>
        <w:widowControl w:val="false"/>
        <w:numPr>
          <w:ilvl w:val="0"/>
          <w:numId w:val="1"/>
        </w:numPr>
        <w:ind w:firstLine="567" w:left="0"/>
        <w:rPr>
          <w:rStyle w:val="Style12"/>
          <w:rFonts w:ascii="Times New Roman" w:hAnsi="Times New Roman" w:cs="Times New Roman"/>
          <w:b/>
          <w:sz w:val="28"/>
          <w:szCs w:val="28"/>
          <w:shd w:fill="auto" w:val="clear"/>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ListParagraph"/>
        <w:widowControl w:val="false"/>
        <w:numPr>
          <w:ilvl w:val="0"/>
          <w:numId w:val="1"/>
        </w:numPr>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2">
        <w:r>
          <w:rPr>
            <w:rStyle w:val="Hyperlink"/>
            <w:rFonts w:ascii="Times New Roman" w:hAnsi="Times New Roman"/>
            <w:sz w:val="28"/>
            <w:szCs w:val="28"/>
          </w:rPr>
          <w:t>https://cbr.ru/vfs/registers/infr/list_OIS.xlsx</w:t>
        </w:r>
      </w:hyperlink>
      <w:r>
        <w:rPr>
          <w:rStyle w:val="Style12"/>
          <w:rFonts w:cs="Times New Roman" w:ascii="Times New Roman" w:hAnsi="Times New Roman"/>
          <w:sz w:val="28"/>
          <w:szCs w:val="28"/>
          <w:shd w:fill="auto" w:val="clear"/>
        </w:rPr>
        <w:t>.</w:t>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firstLine="567" w:left="0"/>
        <w:rPr>
          <w:rStyle w:val="Style12"/>
          <w:rFonts w:ascii="Times New Roman" w:hAnsi="Times New Roman" w:cs="Times New Roman"/>
          <w:b/>
          <w:sz w:val="28"/>
          <w:szCs w:val="28"/>
          <w:shd w:fill="auto" w:val="clear"/>
        </w:rPr>
      </w:pPr>
      <w:r>
        <w:rPr>
          <w:rStyle w:val="Style12"/>
          <w:rFonts w:cs="Times New Roman" w:ascii="Times New Roman" w:hAnsi="Times New Roman"/>
          <w:sz w:val="28"/>
          <w:szCs w:val="28"/>
          <w:shd w:fill="auto" w:val="clear"/>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pPr>
        <w:pStyle w:val="ListParagraph"/>
        <w:widowControl w:val="false"/>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1) право требовать передачи вещи (вещей) (например, право требования золота в слитках при инвестировании в добычу золота); </w:t>
      </w:r>
    </w:p>
    <w:p>
      <w:pPr>
        <w:pStyle w:val="ListParagraph"/>
        <w:widowControl w:val="false"/>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pPr>
        <w:pStyle w:val="ListParagraph"/>
        <w:widowControl w:val="false"/>
        <w:tabs>
          <w:tab w:val="clear" w:pos="709"/>
          <w:tab w:val="left" w:pos="142" w:leader="none"/>
        </w:tabs>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pPr>
        <w:pStyle w:val="ListParagraph"/>
        <w:widowControl w:val="false"/>
        <w:numPr>
          <w:ilvl w:val="0"/>
          <w:numId w:val="1"/>
        </w:numPr>
        <w:tabs>
          <w:tab w:val="clear" w:pos="709"/>
          <w:tab w:val="left" w:pos="142" w:leader="none"/>
        </w:tabs>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pPr>
        <w:pStyle w:val="ListParagraph"/>
        <w:widowControl w:val="false"/>
        <w:numPr>
          <w:ilvl w:val="0"/>
          <w:numId w:val="1"/>
        </w:numPr>
        <w:tabs>
          <w:tab w:val="clear" w:pos="709"/>
          <w:tab w:val="left" w:pos="142" w:leader="none"/>
        </w:tabs>
        <w:ind w:firstLine="567" w:left="0"/>
        <w:rPr>
          <w:rStyle w:val="Style12"/>
          <w:rFonts w:ascii="Times New Roman" w:hAnsi="Times New Roman" w:cs="Times New Roman"/>
          <w:b/>
          <w:sz w:val="28"/>
          <w:szCs w:val="28"/>
          <w:shd w:fill="auto" w:val="clear"/>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Уникальное условное обозначение</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уникальное условное обозначение, идентифицирующее утилитарное цифровое право.</w:t>
      </w:r>
    </w:p>
    <w:p>
      <w:pPr>
        <w:pStyle w:val="ListParagraph"/>
        <w:widowControl w:val="false"/>
        <w:numPr>
          <w:ilvl w:val="0"/>
          <w:numId w:val="1"/>
        </w:numPr>
        <w:tabs>
          <w:tab w:val="clear" w:pos="709"/>
          <w:tab w:val="left" w:pos="142" w:leader="none"/>
        </w:tabs>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дата приобретения утилитарного цифрового права.</w:t>
      </w:r>
    </w:p>
    <w:p>
      <w:pPr>
        <w:pStyle w:val="ListParagraph"/>
        <w:widowControl w:val="false"/>
        <w:numPr>
          <w:ilvl w:val="0"/>
          <w:numId w:val="1"/>
        </w:numPr>
        <w:ind w:firstLine="567" w:left="0"/>
        <w:rPr>
          <w:rStyle w:val="Style12"/>
          <w:rFonts w:ascii="Times New Roman" w:hAnsi="Times New Roman" w:cs="Times New Roman"/>
          <w:b/>
          <w:sz w:val="28"/>
          <w:szCs w:val="28"/>
          <w:shd w:fill="auto" w:val="clear"/>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Объем инвестиций (руб.)</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объем инвестиций в рублях в соответствии с договором инвестирования.</w:t>
      </w:r>
      <w:r>
        <w:rPr>
          <w:rFonts w:ascii="Times New Roman" w:hAnsi="Times New Roman"/>
          <w:sz w:val="28"/>
          <w:szCs w:val="28"/>
        </w:rPr>
        <w:t xml:space="preserve"> </w:t>
      </w:r>
      <w:r>
        <w:rPr>
          <w:rStyle w:val="Style12"/>
          <w:rFonts w:cs="Times New Roman" w:ascii="Times New Roman" w:hAnsi="Times New Roman"/>
          <w:sz w:val="28"/>
          <w:szCs w:val="28"/>
          <w:shd w:fill="auto" w:val="clear"/>
        </w:rPr>
        <w:t xml:space="preserve">Инвестиции, выраженные в иностранной валюте, указываются в рублях по курсу Банка России на дату их осуществления </w:t>
      </w:r>
      <w:r>
        <w:rPr>
          <w:rFonts w:eastAsia="Times New Roman" w:ascii="Times New Roman" w:hAnsi="Times New Roman"/>
          <w:sz w:val="28"/>
          <w:szCs w:val="28"/>
          <w:lang w:eastAsia="ru-RU"/>
        </w:rPr>
        <w:t>(с учетом положений пункта 54 настоящих Методических рекомендаций)</w:t>
      </w:r>
      <w:r>
        <w:rPr>
          <w:rStyle w:val="Style12"/>
          <w:rFonts w:cs="Times New Roman" w:ascii="Times New Roman" w:hAnsi="Times New Roman"/>
          <w:sz w:val="28"/>
          <w:szCs w:val="28"/>
          <w:shd w:fill="auto" w:val="clear"/>
        </w:rPr>
        <w:t>.</w:t>
      </w:r>
    </w:p>
    <w:p>
      <w:pPr>
        <w:pStyle w:val="Normal"/>
        <w:widowControl w:val="false"/>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firstLine="567" w:left="0"/>
        <w:rPr>
          <w:rStyle w:val="Style12"/>
          <w:rFonts w:ascii="Times New Roman" w:hAnsi="Times New Roman" w:cs="Times New Roman"/>
          <w:b/>
          <w:sz w:val="28"/>
          <w:szCs w:val="28"/>
          <w:shd w:fill="auto" w:val="clear"/>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Сведения об операторе инвестиционной платформы</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23">
        <w:r>
          <w:rPr>
            <w:rStyle w:val="Hyperlink"/>
            <w:rFonts w:ascii="Times New Roman" w:hAnsi="Times New Roman"/>
            <w:sz w:val="28"/>
            <w:szCs w:val="28"/>
          </w:rPr>
          <w:t>https://cbr.ru/vfs/registers/infr/list_invest_platform_op.xlsx</w:t>
        </w:r>
      </w:hyperlink>
      <w:r>
        <w:rPr>
          <w:rFonts w:ascii="Times New Roman" w:hAnsi="Times New Roman"/>
          <w:sz w:val="28"/>
          <w:szCs w:val="28"/>
        </w:rPr>
        <w:t xml:space="preserve">. </w:t>
      </w:r>
    </w:p>
    <w:p>
      <w:pPr>
        <w:pStyle w:val="ListParagraph"/>
        <w:widowControl w:val="false"/>
        <w:ind w:firstLine="567" w:left="0"/>
        <w:rPr>
          <w:rStyle w:val="Style12"/>
          <w:rFonts w:ascii="Times New Roman" w:hAnsi="Times New Roman" w:cs="Times New Roman"/>
          <w:sz w:val="28"/>
          <w:szCs w:val="28"/>
          <w:shd w:fill="auto" w:val="clear"/>
        </w:rPr>
      </w:pPr>
      <w:r>
        <w:rPr>
          <w:rFonts w:ascii="Times New Roman" w:hAnsi="Times New Roman"/>
          <w:b/>
          <w:sz w:val="28"/>
          <w:szCs w:val="28"/>
        </w:rPr>
        <w:t>Подраздел 3.5. Цифровая валюта</w:t>
      </w:r>
    </w:p>
    <w:p>
      <w:pPr>
        <w:pStyle w:val="ListParagraph"/>
        <w:widowControl w:val="false"/>
        <w:numPr>
          <w:ilvl w:val="0"/>
          <w:numId w:val="1"/>
        </w:numPr>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Примерами цифровой валюты являются: Биткоин (BTC), Эфириум (ETH), Тезер (USDT) и др.</w:t>
      </w:r>
    </w:p>
    <w:p>
      <w:pPr>
        <w:pStyle w:val="ListParagraph"/>
        <w:widowControl w:val="false"/>
        <w:numPr>
          <w:ilvl w:val="0"/>
          <w:numId w:val="1"/>
        </w:numPr>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Наименование цифровой валюты</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дата приобретения цифровой валюты.</w:t>
      </w:r>
    </w:p>
    <w:p>
      <w:pPr>
        <w:pStyle w:val="ListParagraph"/>
        <w:widowControl w:val="false"/>
        <w:ind w:firstLine="567" w:left="0"/>
        <w:rPr>
          <w:rStyle w:val="Style12"/>
          <w:rFonts w:ascii="Times New Roman" w:hAnsi="Times New Roman" w:cs="Times New Roman"/>
          <w:sz w:val="28"/>
          <w:szCs w:val="28"/>
          <w:shd w:fill="auto" w:val="clear"/>
        </w:rPr>
      </w:pP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цифровой валюты может совпадать с датой транзакции, то есть с датой передачи цифровой валюты от одного лица другому.</w:t>
      </w:r>
    </w:p>
    <w:p>
      <w:pPr>
        <w:pStyle w:val="ListParagraph"/>
        <w:widowControl w:val="false"/>
        <w:numPr>
          <w:ilvl w:val="0"/>
          <w:numId w:val="1"/>
        </w:numPr>
        <w:ind w:firstLine="567" w:left="0"/>
        <w:rPr>
          <w:rFonts w:ascii="Times New Roman" w:hAnsi="Times New Roman"/>
          <w:b/>
          <w:sz w:val="28"/>
          <w:szCs w:val="28"/>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Общее количество</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firstLine="851" w:left="0"/>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sz w:val="28"/>
          <w:szCs w:val="28"/>
        </w:rPr>
      </w:pPr>
      <w:r>
        <w:rPr>
          <w:rFonts w:ascii="Times New Roman" w:hAnsi="Times New Roman"/>
          <w:b/>
          <w:sz w:val="28"/>
          <w:szCs w:val="28"/>
        </w:rPr>
        <w:t xml:space="preserve">РАЗДЕЛ 4. СВЕДЕНИЯ О СЧЕТАХ В БАНКАХ </w:t>
      </w:r>
    </w:p>
    <w:p>
      <w:pPr>
        <w:pStyle w:val="Normal"/>
        <w:ind w:hanging="0"/>
        <w:jc w:val="center"/>
        <w:rPr>
          <w:rFonts w:ascii="Times New Roman" w:hAnsi="Times New Roman"/>
          <w:b/>
          <w:sz w:val="28"/>
          <w:szCs w:val="28"/>
        </w:rPr>
      </w:pPr>
      <w:r>
        <w:rPr>
          <w:rFonts w:ascii="Times New Roman" w:hAnsi="Times New Roman"/>
          <w:b/>
          <w:sz w:val="28"/>
          <w:szCs w:val="28"/>
        </w:rPr>
        <w:t>И ИНЫХ КРЕДИТНЫХ ОРГАНИЗАЦИЯХ</w:t>
      </w:r>
    </w:p>
    <w:p>
      <w:pPr>
        <w:pStyle w:val="Normal"/>
        <w:ind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Normal"/>
        <w:tabs>
          <w:tab w:val="clear" w:pos="709"/>
          <w:tab w:val="left" w:pos="567" w:leader="none"/>
          <w:tab w:val="left" w:pos="993" w:leader="none"/>
        </w:tabs>
        <w:rPr>
          <w:rFonts w:ascii="Times New Roman" w:hAnsi="Times New Roman"/>
          <w:color w:val="000000"/>
          <w:sz w:val="28"/>
          <w:szCs w:val="28"/>
        </w:rPr>
      </w:pPr>
      <w:r>
        <w:rPr>
          <w:rFonts w:ascii="Times New Roman" w:hAnsi="Times New Roman"/>
          <w:color w:val="000000"/>
          <w:sz w:val="28"/>
          <w:szCs w:val="28"/>
        </w:rPr>
        <w:t xml:space="preserve">Информация о счетах, закрытых по состоянию на отчетную дату, не подлежит отражению в справке. </w:t>
      </w:r>
    </w:p>
    <w:p>
      <w:pPr>
        <w:pStyle w:val="ListParagraph"/>
        <w:ind w:firstLine="567" w:left="0"/>
        <w:rPr>
          <w:rFonts w:ascii="Times New Roman" w:hAnsi="Times New Roman"/>
          <w:color w:val="000000"/>
          <w:sz w:val="28"/>
          <w:szCs w:val="28"/>
        </w:rPr>
      </w:pPr>
      <w:r>
        <w:rPr>
          <w:rFonts w:ascii="Times New Roman" w:hAnsi="Times New Roman"/>
          <w:color w:val="000000"/>
          <w:sz w:val="28"/>
          <w:szCs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w:t>
      </w:r>
      <w:r>
        <w:rPr>
          <w:rFonts w:ascii="Times New Roman" w:hAnsi="Times New Roman"/>
          <w:sz w:val="28"/>
          <w:szCs w:val="28"/>
        </w:rPr>
        <w:t>арта может быть не привязана к счету, например, при открытии "Пушкинской карты" и др.</w:t>
      </w:r>
    </w:p>
    <w:p>
      <w:pPr>
        <w:pStyle w:val="ListParagraph"/>
        <w:ind w:firstLine="567" w:left="0"/>
        <w:rPr>
          <w:rFonts w:ascii="Times New Roman" w:hAnsi="Times New Roman"/>
          <w:color w:val="000000"/>
          <w:sz w:val="28"/>
          <w:szCs w:val="28"/>
        </w:rPr>
      </w:pPr>
      <w:r>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о счетах, к которым не эмитированы (не выпущены) платежные карты):</w:t>
      </w:r>
    </w:p>
    <w:p>
      <w:pPr>
        <w:pStyle w:val="ListParagraph"/>
        <w:ind w:firstLine="567" w:left="0"/>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firstLine="567" w:left="0"/>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ListParagraph"/>
        <w:ind w:firstLine="567" w:left="0"/>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firstLine="567" w:left="0"/>
        <w:rPr>
          <w:rFonts w:ascii="Times New Roman" w:hAnsi="Times New Roman"/>
          <w:sz w:val="28"/>
          <w:szCs w:val="28"/>
        </w:rPr>
      </w:pPr>
      <w:r>
        <w:rPr>
          <w:rFonts w:ascii="Times New Roman" w:hAnsi="Times New Roman"/>
          <w:sz w:val="28"/>
          <w:szCs w:val="28"/>
        </w:rPr>
        <w:t>4) счета, открытые для погашения кредита;</w:t>
      </w:r>
    </w:p>
    <w:p>
      <w:pPr>
        <w:pStyle w:val="ListParagraph"/>
        <w:ind w:firstLine="567" w:left="0"/>
        <w:rPr>
          <w:rFonts w:ascii="Times New Roman" w:hAnsi="Times New Roman"/>
          <w:sz w:val="28"/>
          <w:szCs w:val="28"/>
        </w:rPr>
      </w:pPr>
      <w:r>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pPr>
        <w:pStyle w:val="ListParagraph"/>
        <w:ind w:firstLine="567" w:left="0"/>
        <w:rPr>
          <w:rFonts w:ascii="Times New Roman" w:hAnsi="Times New Roman"/>
          <w:sz w:val="28"/>
          <w:szCs w:val="28"/>
        </w:rPr>
      </w:pPr>
      <w:r>
        <w:rPr>
          <w:rFonts w:ascii="Times New Roman" w:hAnsi="Times New Roman"/>
          <w:sz w:val="28"/>
          <w:szCs w:val="28"/>
        </w:rPr>
        <w:t>6) счета, открытые гражданам, зарегистрированным в качестве индивидуальных предпринимателей;</w:t>
      </w:r>
    </w:p>
    <w:p>
      <w:pPr>
        <w:pStyle w:val="ListParagraph"/>
        <w:ind w:firstLine="567" w:left="0"/>
        <w:rPr>
          <w:rFonts w:ascii="Times New Roman" w:hAnsi="Times New Roman"/>
          <w:sz w:val="28"/>
          <w:szCs w:val="28"/>
        </w:rPr>
      </w:pPr>
      <w:r>
        <w:rPr>
          <w:rFonts w:ascii="Times New Roman" w:hAnsi="Times New Roman"/>
          <w:sz w:val="28"/>
          <w:szCs w:val="28"/>
        </w:rPr>
        <w:t>7) номинальный счет;</w:t>
      </w:r>
    </w:p>
    <w:p>
      <w:pPr>
        <w:pStyle w:val="ListParagraph"/>
        <w:ind w:firstLine="567" w:left="0"/>
        <w:rPr>
          <w:rFonts w:ascii="Times New Roman" w:hAnsi="Times New Roman"/>
          <w:sz w:val="28"/>
          <w:szCs w:val="28"/>
        </w:rPr>
      </w:pPr>
      <w:r>
        <w:rPr>
          <w:rFonts w:ascii="Times New Roman" w:hAnsi="Times New Roman"/>
          <w:sz w:val="28"/>
          <w:szCs w:val="28"/>
        </w:rPr>
        <w:t>8) счет эскроу;</w:t>
      </w:r>
    </w:p>
    <w:p>
      <w:pPr>
        <w:pStyle w:val="ListParagraph"/>
        <w:ind w:firstLine="567" w:left="0"/>
        <w:rPr>
          <w:rFonts w:ascii="Times New Roman" w:hAnsi="Times New Roman"/>
          <w:sz w:val="28"/>
          <w:szCs w:val="28"/>
        </w:rPr>
      </w:pPr>
      <w:r>
        <w:rPr>
          <w:rFonts w:ascii="Times New Roman" w:hAnsi="Times New Roman"/>
          <w:sz w:val="28"/>
          <w:szCs w:val="28"/>
        </w:rPr>
        <w:t>9) счет цифрового рубля.</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ListParagraph"/>
        <w:ind w:firstLine="567" w:left="0"/>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4" w:tgtFrame="https://www.cbr.ru/hd_base/metall/metall_base_new/">
        <w:r>
          <w:rPr>
            <w:rStyle w:val="Hyperlink"/>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firstLine="567" w:left="0"/>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firstLine="567" w:left="0"/>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firstLine="567" w:left="0"/>
        <w:rPr>
          <w:rFonts w:ascii="Times New Roman" w:hAnsi="Times New Roman"/>
          <w:sz w:val="28"/>
          <w:szCs w:val="28"/>
        </w:rPr>
      </w:pPr>
      <w:r>
        <w:rPr>
          <w:rFonts w:ascii="Times New Roman" w:hAnsi="Times New Roman"/>
          <w:sz w:val="28"/>
          <w:szCs w:val="28"/>
        </w:rPr>
        <w:t>3) публичные депозитные счета нотариуса;</w:t>
      </w:r>
    </w:p>
    <w:p>
      <w:pPr>
        <w:pStyle w:val="ListParagraph"/>
        <w:ind w:firstLine="567" w:left="0"/>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firstLine="567" w:left="0"/>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firstLine="567" w:left="0"/>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firstLine="567" w:left="0"/>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pPr>
        <w:pStyle w:val="ListParagraph"/>
        <w:ind w:firstLine="567" w:left="0"/>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firstLine="567" w:left="0"/>
        <w:rPr>
          <w:rFonts w:ascii="Times New Roman" w:hAnsi="Times New Roman"/>
          <w:sz w:val="28"/>
          <w:szCs w:val="28"/>
          <w:shd w:fill="FFFFFF" w:val="clear"/>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firstLine="567" w:left="0"/>
        <w:rPr>
          <w:rStyle w:val="Style12"/>
          <w:rFonts w:ascii="Times New Roman" w:hAnsi="Times New Roman" w:cs="Times New Roman"/>
          <w:sz w:val="28"/>
          <w:szCs w:val="28"/>
        </w:rPr>
      </w:pPr>
      <w:r>
        <w:rPr>
          <w:rStyle w:val="Style12"/>
          <w:rFonts w:cs="Times New Roman"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firstLine="567" w:left="0"/>
        <w:rPr>
          <w:rStyle w:val="Style12"/>
          <w:rFonts w:ascii="Times New Roman" w:hAnsi="Times New Roman"/>
        </w:rPr>
      </w:pPr>
      <w:r>
        <w:rPr>
          <w:rStyle w:val="Style12"/>
          <w:rFonts w:cs="Times New Roman"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ind w:firstLine="567" w:left="0"/>
        <w:rPr>
          <w:rFonts w:ascii="Times New Roman" w:hAnsi="Times New Roman"/>
          <w:sz w:val="28"/>
          <w:szCs w:val="28"/>
        </w:rPr>
      </w:pPr>
      <w:r>
        <w:rPr>
          <w:rStyle w:val="Style12"/>
          <w:rFonts w:cs="Times New Roman" w:ascii="Times New Roman" w:hAnsi="Times New Roman"/>
          <w:sz w:val="28"/>
          <w:szCs w:val="28"/>
        </w:rPr>
        <w:t>Для счета цифрового рубля информацию целесообразно получать непосредственно у Банка России, который открывает такой счет.</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"Наименование и адрес банка или иной кредитной организации"</w:t>
      </w:r>
      <w:r>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pPr>
        <w:pStyle w:val="ListParagraph"/>
        <w:ind w:firstLine="567" w:left="0"/>
        <w:rPr>
          <w:rFonts w:ascii="Times New Roman" w:hAnsi="Times New Roman"/>
          <w:sz w:val="28"/>
          <w:szCs w:val="28"/>
        </w:rPr>
      </w:pPr>
      <w:r>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Pr>
          <w:rStyle w:val="Style12"/>
          <w:rFonts w:cs="Times New Roman" w:ascii="Times New Roman" w:hAnsi="Times New Roman"/>
          <w:sz w:val="28"/>
          <w:szCs w:val="28"/>
        </w:rPr>
        <w:t>107016, Москва, ул. Неглинная, д. 12, к. В.</w:t>
      </w:r>
      <w:r>
        <w:rPr>
          <w:rFonts w:ascii="Times New Roman" w:hAnsi="Times New Roman"/>
          <w:sz w:val="28"/>
          <w:szCs w:val="28"/>
        </w:rPr>
        <w:t>".</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"Вид и валюта счета"</w:t>
      </w:r>
      <w:r>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pPr>
        <w:pStyle w:val="ListParagraph"/>
        <w:ind w:firstLine="567" w:left="0"/>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ListParagraph"/>
        <w:ind w:firstLine="567" w:left="0"/>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firstLine="567" w:left="0"/>
        <w:rPr>
          <w:rFonts w:ascii="Times New Roman" w:hAnsi="Times New Roman"/>
          <w:sz w:val="28"/>
          <w:szCs w:val="28"/>
        </w:rPr>
      </w:pPr>
      <w:r>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ListParagraph"/>
        <w:ind w:firstLine="567" w:left="0"/>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firstLine="567" w:left="0"/>
        <w:rPr>
          <w:rStyle w:val="Style12"/>
          <w:rFonts w:ascii="Times New Roman" w:hAnsi="Times New Roman" w:cs="Times New Roman"/>
          <w:sz w:val="28"/>
          <w:szCs w:val="28"/>
        </w:rPr>
      </w:pPr>
      <w:r>
        <w:rPr>
          <w:rFonts w:ascii="Times New Roman" w:hAnsi="Times New Roman"/>
          <w:sz w:val="28"/>
          <w:szCs w:val="28"/>
        </w:rPr>
        <w:t xml:space="preserve">В графе </w:t>
      </w:r>
      <w:r>
        <w:rPr>
          <w:rFonts w:ascii="Times New Roman" w:hAnsi="Times New Roman"/>
          <w:b/>
          <w:sz w:val="28"/>
        </w:rPr>
        <w:t>"Дата открытия счета"</w:t>
      </w:r>
      <w:r>
        <w:rPr>
          <w:rFonts w:ascii="Times New Roman" w:hAnsi="Times New Roman"/>
          <w:sz w:val="28"/>
          <w:szCs w:val="28"/>
        </w:rPr>
        <w:t xml:space="preserve"> </w:t>
      </w:r>
      <w:r>
        <w:rPr>
          <w:rStyle w:val="Style12"/>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Графа </w:t>
      </w:r>
      <w:r>
        <w:rPr>
          <w:rFonts w:ascii="Times New Roman" w:hAnsi="Times New Roman"/>
          <w:b/>
          <w:sz w:val="28"/>
        </w:rPr>
        <w:t>"Остаток на счете</w:t>
      </w:r>
      <w:r>
        <w:rPr>
          <w:rFonts w:ascii="Times New Roman" w:hAnsi="Times New Roman"/>
          <w:b/>
          <w:sz w:val="28"/>
          <w:szCs w:val="28"/>
        </w:rPr>
        <w:t xml:space="preserve"> (руб.)"</w:t>
      </w:r>
      <w:r>
        <w:rPr>
          <w:rFonts w:ascii="Times New Roman" w:hAnsi="Times New Roman"/>
          <w:sz w:val="28"/>
          <w:szCs w:val="28"/>
        </w:rPr>
        <w:t xml:space="preserve"> заполняется по состоянию на отчетную дату. </w:t>
      </w:r>
    </w:p>
    <w:p>
      <w:pPr>
        <w:pStyle w:val="ListParagraph"/>
        <w:ind w:firstLine="567" w:left="0"/>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firstLine="567" w:left="0"/>
        <w:rPr>
          <w:rFonts w:ascii="Times New Roman" w:hAnsi="Times New Roman"/>
          <w:sz w:val="28"/>
          <w:szCs w:val="28"/>
        </w:rPr>
      </w:pPr>
      <w:r>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sz w:val="28"/>
          <w:szCs w:val="28"/>
        </w:rPr>
        <w:t>"Остаток на счете (руб.)"</w:t>
      </w:r>
      <w:r>
        <w:rPr>
          <w:rFonts w:ascii="Times New Roman" w:hAnsi="Times New Roman"/>
          <w:sz w:val="28"/>
          <w:szCs w:val="28"/>
        </w:rPr>
        <w:t xml:space="preserve"> раздела 4 справки в полном объеме.</w:t>
      </w:r>
    </w:p>
    <w:p>
      <w:pPr>
        <w:pStyle w:val="ListParagraph"/>
        <w:ind w:firstLine="567" w:left="0"/>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ind w:firstLine="567" w:left="0"/>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заполняется </w:t>
      </w:r>
      <w:r>
        <w:rPr>
          <w:rFonts w:ascii="Times New Roman" w:hAnsi="Times New Roman"/>
          <w:b/>
          <w:sz w:val="28"/>
        </w:rPr>
        <w:t>только</w:t>
      </w:r>
      <w:r>
        <w:rPr>
          <w:rFonts w:ascii="Times New Roman" w:hAnsi="Times New Roman"/>
          <w:sz w:val="28"/>
        </w:rPr>
        <w:t xml:space="preserve"> в случае, если общая сумма денежных </w:t>
      </w:r>
      <w:r>
        <w:rPr>
          <w:rFonts w:ascii="Times New Roman" w:hAnsi="Times New Roman"/>
          <w:sz w:val="28"/>
          <w:szCs w:val="28"/>
        </w:rPr>
        <w:t>средств, поступивших</w:t>
      </w:r>
      <w:r>
        <w:rPr>
          <w:rFonts w:ascii="Times New Roman" w:hAnsi="Times New Roman"/>
          <w:sz w:val="28"/>
        </w:rPr>
        <w:t xml:space="preserve"> на </w:t>
      </w:r>
      <w:r>
        <w:rPr>
          <w:rFonts w:ascii="Times New Roman" w:hAnsi="Times New Roman"/>
          <w:sz w:val="28"/>
          <w:szCs w:val="28"/>
        </w:rPr>
        <w:t>счета</w:t>
      </w:r>
      <w:r>
        <w:rPr>
          <w:rFonts w:ascii="Times New Roman" w:hAnsi="Times New Roman"/>
          <w:sz w:val="28"/>
        </w:rPr>
        <w:t xml:space="preserve"> за отчетный период</w:t>
      </w:r>
      <w:r>
        <w:rPr>
          <w:rFonts w:ascii="Times New Roman" w:hAnsi="Times New Roman"/>
          <w:sz w:val="28"/>
          <w:szCs w:val="28"/>
        </w:rPr>
        <w:t>,</w:t>
      </w:r>
      <w:r>
        <w:rPr>
          <w:rFonts w:ascii="Times New Roman" w:hAnsi="Times New Roman"/>
          <w:sz w:val="28"/>
        </w:rPr>
        <w:t xml:space="preserve">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супруги (супруга) </w:t>
      </w:r>
      <w:r>
        <w:rPr>
          <w:rFonts w:ascii="Times New Roman" w:hAnsi="Times New Roman"/>
          <w:sz w:val="28"/>
          <w:szCs w:val="28"/>
        </w:rPr>
        <w:t xml:space="preserve">и несовершеннолетних детей </w:t>
      </w:r>
      <w:r>
        <w:rPr>
          <w:rFonts w:ascii="Times New Roman" w:hAnsi="Times New Roman"/>
          <w:sz w:val="28"/>
        </w:rPr>
        <w:t xml:space="preserve">за отчетный период и два предшествующих ему года. Например, при представлении Сведений в </w:t>
      </w:r>
      <w:r>
        <w:rPr>
          <w:rFonts w:ascii="Times New Roman" w:hAnsi="Times New Roman"/>
          <w:sz w:val="28"/>
          <w:szCs w:val="28"/>
        </w:rPr>
        <w:t>2024</w:t>
      </w:r>
      <w:r>
        <w:rPr>
          <w:rFonts w:ascii="Times New Roman" w:hAnsi="Times New Roman"/>
          <w:sz w:val="28"/>
        </w:rPr>
        <w:t xml:space="preserve"> году 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w:t>
      </w:r>
      <w:r>
        <w:rPr>
          <w:rFonts w:ascii="Times New Roman" w:hAnsi="Times New Roman"/>
          <w:sz w:val="28"/>
          <w:szCs w:val="28"/>
        </w:rPr>
        <w:t>такие счета в 2023</w:t>
      </w:r>
      <w:r>
        <w:rPr>
          <w:rFonts w:ascii="Times New Roman" w:hAnsi="Times New Roman"/>
          <w:sz w:val="28"/>
        </w:rPr>
        <w:t> году,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супруги (супруга) </w:t>
      </w:r>
      <w:r>
        <w:rPr>
          <w:rFonts w:ascii="Times New Roman" w:hAnsi="Times New Roman"/>
          <w:sz w:val="28"/>
          <w:szCs w:val="28"/>
        </w:rPr>
        <w:t xml:space="preserve">и несовершеннолетних детей </w:t>
      </w:r>
      <w:r>
        <w:rPr>
          <w:rFonts w:ascii="Times New Roman" w:hAnsi="Times New Roman"/>
          <w:sz w:val="28"/>
        </w:rPr>
        <w:t>за 2021</w:t>
      </w:r>
      <w:r>
        <w:rPr>
          <w:rFonts w:ascii="Times New Roman" w:hAnsi="Times New Roman"/>
          <w:sz w:val="28"/>
          <w:szCs w:val="28"/>
        </w:rPr>
        <w:t>,</w:t>
      </w:r>
      <w:r>
        <w:rPr>
          <w:rFonts w:ascii="Times New Roman" w:hAnsi="Times New Roman"/>
          <w:sz w:val="28"/>
        </w:rPr>
        <w:t xml:space="preserve"> 2022</w:t>
      </w:r>
      <w:r>
        <w:rPr>
          <w:rFonts w:ascii="Times New Roman" w:hAnsi="Times New Roman"/>
          <w:sz w:val="28"/>
          <w:szCs w:val="28"/>
        </w:rPr>
        <w:t xml:space="preserve"> и 2023</w:t>
      </w:r>
      <w:r>
        <w:rPr>
          <w:rFonts w:ascii="Times New Roman" w:hAnsi="Times New Roman"/>
          <w:sz w:val="28"/>
        </w:rPr>
        <w:t xml:space="preserve"> годы (в таком случае в отношении каждого счета указывается сумма поступивших на него в 2023 году денежных средств). </w:t>
      </w:r>
    </w:p>
    <w:p>
      <w:pPr>
        <w:pStyle w:val="Normal"/>
        <w:ind w:firstLine="567"/>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pPr>
        <w:pStyle w:val="Normal"/>
        <w:ind w:firstLine="567"/>
        <w:rPr>
          <w:rFonts w:ascii="Times New Roman" w:hAnsi="Times New Roman"/>
          <w:sz w:val="28"/>
        </w:rPr>
      </w:pPr>
      <w:r>
        <w:rPr>
          <w:rFonts w:ascii="Times New Roman" w:hAnsi="Times New Roman"/>
          <w:sz w:val="28"/>
        </w:rPr>
        <w:t xml:space="preserve">В случае если общая сумма денежных </w:t>
      </w:r>
      <w:r>
        <w:rPr>
          <w:rFonts w:ascii="Times New Roman" w:hAnsi="Times New Roman"/>
          <w:sz w:val="28"/>
          <w:szCs w:val="28"/>
        </w:rPr>
        <w:t>средств, поступивших</w:t>
      </w:r>
      <w:r>
        <w:rPr>
          <w:rFonts w:ascii="Times New Roman" w:hAnsi="Times New Roman"/>
          <w:sz w:val="28"/>
        </w:rPr>
        <w:t xml:space="preserve"> на </w:t>
      </w:r>
      <w:r>
        <w:rPr>
          <w:rFonts w:ascii="Times New Roman" w:hAnsi="Times New Roman"/>
          <w:sz w:val="28"/>
          <w:szCs w:val="28"/>
        </w:rPr>
        <w:t>счета за отчетный период,</w:t>
      </w:r>
      <w:r>
        <w:rPr>
          <w:rFonts w:ascii="Times New Roman" w:hAnsi="Times New Roman"/>
          <w:sz w:val="28"/>
        </w:rPr>
        <w:t xml:space="preserve"> не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супруга (супруги)</w:t>
      </w:r>
      <w:r>
        <w:rPr>
          <w:rFonts w:ascii="Times New Roman" w:hAnsi="Times New Roman"/>
          <w:sz w:val="28"/>
          <w:szCs w:val="28"/>
        </w:rPr>
        <w:t xml:space="preserve"> и несовершеннолетних детей</w:t>
      </w:r>
      <w:r>
        <w:rPr>
          <w:rFonts w:ascii="Times New Roman" w:hAnsi="Times New Roman"/>
          <w:sz w:val="28"/>
        </w:rPr>
        <w:t xml:space="preserve">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pPr>
        <w:pStyle w:val="Normal"/>
        <w:ind w:firstLine="567"/>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szCs w:val="28"/>
        </w:rPr>
        <w:t>),</w:t>
      </w:r>
      <w:r>
        <w:rPr>
          <w:rFonts w:ascii="Times New Roman" w:hAnsi="Times New Roman"/>
          <w:sz w:val="28"/>
        </w:rPr>
        <w:t xml:space="preserve"> его супруги (супруга)</w:t>
      </w:r>
      <w:r>
        <w:rPr>
          <w:rFonts w:ascii="Times New Roman" w:hAnsi="Times New Roman"/>
          <w:sz w:val="28"/>
          <w:szCs w:val="28"/>
        </w:rPr>
        <w:t xml:space="preserve"> и несовершеннолетних детей</w:t>
      </w:r>
      <w:r>
        <w:rPr>
          <w:rFonts w:ascii="Times New Roman" w:hAnsi="Times New Roman"/>
          <w:sz w:val="28"/>
        </w:rPr>
        <w:t xml:space="preserve">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pPr>
        <w:pStyle w:val="Normal"/>
        <w:ind w:firstLine="567"/>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pPr>
        <w:pStyle w:val="ListParagraph"/>
        <w:ind w:firstLine="567" w:left="0"/>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часто подлежит заполнению в связи с незначительными доходами в предыдущие годы.</w:t>
      </w:r>
    </w:p>
    <w:p>
      <w:pPr>
        <w:pStyle w:val="ListParagraph"/>
        <w:ind w:firstLine="567" w:left="0"/>
        <w:rPr>
          <w:rFonts w:ascii="Times New Roman" w:hAnsi="Times New Roman"/>
          <w:sz w:val="28"/>
          <w:szCs w:val="28"/>
        </w:rPr>
      </w:pPr>
      <w:r>
        <w:rPr>
          <w:rFonts w:ascii="Times New Roman" w:hAnsi="Times New Roman"/>
          <w:sz w:val="28"/>
        </w:rPr>
        <w:t xml:space="preserve">Для счетов в иностранной валюте сумма указывается в рублях по курсу Банка России на отчетную дату (с учетом положений пункта </w:t>
      </w:r>
      <w:r>
        <w:rPr>
          <w:rFonts w:eastAsia="Times New Roman" w:ascii="Times New Roman" w:hAnsi="Times New Roman"/>
          <w:sz w:val="28"/>
          <w:szCs w:val="28"/>
          <w:lang w:eastAsia="ru-RU"/>
        </w:rPr>
        <w:t>54</w:t>
      </w:r>
      <w:r>
        <w:rPr>
          <w:rFonts w:ascii="Times New Roman" w:hAnsi="Times New Roman"/>
          <w:sz w:val="28"/>
        </w:rPr>
        <w:t xml:space="preserve"> настоящих Методических рекомендаций).</w:t>
      </w:r>
    </w:p>
    <w:p>
      <w:pPr>
        <w:pStyle w:val="ListParagraph"/>
        <w:numPr>
          <w:ilvl w:val="0"/>
          <w:numId w:val="1"/>
        </w:numPr>
        <w:ind w:firstLine="567" w:left="0"/>
        <w:rPr>
          <w:rFonts w:ascii="Times New Roman" w:hAnsi="Times New Roman"/>
          <w:b/>
          <w:sz w:val="28"/>
          <w:szCs w:val="28"/>
        </w:rPr>
      </w:pPr>
      <w:r>
        <w:rPr>
          <w:rFonts w:ascii="Times New Roman" w:hAnsi="Times New Roman"/>
          <w:b/>
          <w:sz w:val="28"/>
          <w:szCs w:val="28"/>
        </w:rPr>
        <w:t xml:space="preserve">Отдельные аспекты заполнения </w:t>
      </w:r>
      <w:r>
        <w:rPr>
          <w:rFonts w:ascii="Times New Roman" w:hAnsi="Times New Roman"/>
          <w:b/>
          <w:sz w:val="28"/>
        </w:rPr>
        <w:t>графы "Сумма поступивших на счет денежных средств</w:t>
      </w:r>
      <w:r>
        <w:rPr>
          <w:rFonts w:ascii="Times New Roman" w:hAnsi="Times New Roman"/>
          <w:b/>
          <w:sz w:val="28"/>
          <w:szCs w:val="28"/>
        </w:rPr>
        <w:t xml:space="preserve"> (руб.)":</w:t>
      </w:r>
    </w:p>
    <w:p>
      <w:pPr>
        <w:pStyle w:val="ListParagraph"/>
        <w:ind w:firstLine="567" w:left="0"/>
        <w:rPr>
          <w:rFonts w:ascii="Times New Roman" w:hAnsi="Times New Roman"/>
          <w:sz w:val="28"/>
          <w:szCs w:val="28"/>
        </w:rPr>
      </w:pPr>
      <w:r>
        <w:rPr>
          <w:rFonts w:ascii="Times New Roman" w:hAnsi="Times New Roman"/>
          <w:sz w:val="28"/>
          <w:szCs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pPr>
        <w:pStyle w:val="ListParagraph"/>
        <w:ind w:firstLine="567" w:left="0"/>
        <w:rPr>
          <w:rFonts w:ascii="Times New Roman" w:hAnsi="Times New Roman"/>
          <w:sz w:val="28"/>
          <w:szCs w:val="28"/>
        </w:rPr>
      </w:pPr>
      <w:r>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pPr>
        <w:pStyle w:val="ListParagraph"/>
        <w:ind w:firstLine="567" w:left="0"/>
        <w:rPr>
          <w:rFonts w:ascii="Times New Roman" w:hAnsi="Times New Roman"/>
          <w:sz w:val="28"/>
          <w:szCs w:val="28"/>
        </w:rPr>
      </w:pPr>
      <w:r>
        <w:rPr>
          <w:rFonts w:ascii="Times New Roman" w:hAnsi="Times New Roman"/>
          <w:sz w:val="28"/>
          <w:szCs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pPr>
        <w:pStyle w:val="ListParagraph"/>
        <w:ind w:firstLine="567" w:left="0"/>
        <w:rPr>
          <w:rFonts w:ascii="Times New Roman" w:hAnsi="Times New Roman"/>
          <w:sz w:val="28"/>
          <w:szCs w:val="28"/>
        </w:rPr>
      </w:pPr>
      <w:r>
        <w:rPr>
          <w:rFonts w:ascii="Times New Roman" w:hAnsi="Times New Roman"/>
          <w:sz w:val="28"/>
          <w:szCs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pPr>
        <w:pStyle w:val="ListParagraph"/>
        <w:ind w:firstLine="567" w:left="0"/>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pPr>
        <w:pStyle w:val="ListParagraph"/>
        <w:ind w:firstLine="567" w:left="0"/>
        <w:rPr>
          <w:rFonts w:ascii="Times New Roman" w:hAnsi="Times New Roman"/>
          <w:sz w:val="28"/>
          <w:szCs w:val="28"/>
        </w:rPr>
      </w:pPr>
      <w:r>
        <w:rPr>
          <w:rFonts w:ascii="Times New Roman" w:hAnsi="Times New Roman"/>
          <w:sz w:val="28"/>
          <w:szCs w:val="28"/>
        </w:rPr>
      </w:r>
    </w:p>
    <w:p>
      <w:pPr>
        <w:pStyle w:val="ListParagraph"/>
        <w:ind w:firstLine="567" w:left="0"/>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p>
    <w:tbl>
      <w:tblPr>
        <w:tblStyle w:val="af4"/>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shd w:color="auto" w:fill="FFFFFF" w:themeFill="background1" w:val="clear"/>
          </w:tcPr>
          <w:p>
            <w:pPr>
              <w:pStyle w:val="ListParagraph"/>
              <w:widowControl/>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pPr>
              <w:pStyle w:val="ListParagraph"/>
              <w:widowControl/>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В течение отчетного периода на счета служащего (работника) поступило 300 тыс. руб., а на счета его супруги – 500 тыс. руб.</w:t>
            </w:r>
          </w:p>
          <w:p>
            <w:pPr>
              <w:pStyle w:val="Normal"/>
              <w:widowControl/>
              <w:tabs>
                <w:tab w:val="clear" w:pos="709"/>
                <w:tab w:val="left" w:pos="454" w:leader="none"/>
                <w:tab w:val="left" w:pos="9390" w:leader="none"/>
              </w:tabs>
              <w:spacing w:before="0" w:after="0"/>
              <w:ind w:hanging="0"/>
              <w:rPr>
                <w:rFonts w:ascii="Times New Roman" w:hAnsi="Times New Roman"/>
                <w:iCs/>
                <w:sz w:val="28"/>
                <w:szCs w:val="28"/>
              </w:rPr>
            </w:pPr>
            <w:r>
              <w:rPr>
                <w:rFonts w:eastAsia="Calibri" w:cs="Times New Roman" w:ascii="Times New Roman" w:hAnsi="Times New Roman"/>
                <w:iCs/>
                <w:kern w:val="0"/>
                <w:sz w:val="28"/>
                <w:szCs w:val="28"/>
                <w:lang w:val="ru-RU" w:bidi="ar-SA"/>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pPr>
              <w:pStyle w:val="Normal"/>
              <w:widowControl/>
              <w:tabs>
                <w:tab w:val="clear" w:pos="709"/>
                <w:tab w:val="left" w:pos="454" w:leader="none"/>
                <w:tab w:val="left" w:pos="9390" w:leader="none"/>
              </w:tabs>
              <w:spacing w:before="0" w:after="0"/>
              <w:ind w:hanging="0"/>
              <w:rPr>
                <w:rFonts w:ascii="Times New Roman" w:hAnsi="Times New Roman"/>
                <w:iCs/>
                <w:sz w:val="28"/>
                <w:szCs w:val="28"/>
              </w:rPr>
            </w:pPr>
            <w:r>
              <w:rPr>
                <w:rFonts w:eastAsia="Calibri" w:cs="Times New Roman" w:ascii="Times New Roman" w:hAnsi="Times New Roman"/>
                <w:iCs/>
                <w:kern w:val="0"/>
                <w:sz w:val="28"/>
                <w:szCs w:val="28"/>
                <w:lang w:val="ru-RU" w:bidi="ar-SA"/>
              </w:rPr>
              <w:t>В данном примере:</w:t>
            </w:r>
          </w:p>
          <w:p>
            <w:pPr>
              <w:pStyle w:val="ListParagraph"/>
              <w:widowControl/>
              <w:numPr>
                <w:ilvl w:val="0"/>
                <w:numId w:val="10"/>
              </w:numPr>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графа "Сумма поступивших на счет денежных средств (руб.)" раздела 4 справки в отношении служащего (работника) не заполняется;</w:t>
            </w:r>
          </w:p>
          <w:p>
            <w:pPr>
              <w:pStyle w:val="ListParagraph"/>
              <w:widowControl/>
              <w:numPr>
                <w:ilvl w:val="0"/>
                <w:numId w:val="10"/>
              </w:numPr>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 xml:space="preserve">графа "Сумма поступивших на счет денежных средств (руб.)" раздела 4 справки в отношении его супруги также не заполняется. </w:t>
            </w:r>
          </w:p>
        </w:tc>
      </w:tr>
      <w:tr>
        <w:trPr/>
        <w:tc>
          <w:tcPr>
            <w:tcW w:w="10195" w:type="dxa"/>
            <w:tcBorders/>
            <w:shd w:color="auto" w:fill="FFFFFF" w:themeFill="background1" w:val="clear"/>
          </w:tcPr>
          <w:p>
            <w:pPr>
              <w:pStyle w:val="ListParagraph"/>
              <w:widowControl/>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По состоянию на отчетную дату и в течение отчетного периода у служащего (работника) открыто три счета.</w:t>
            </w:r>
          </w:p>
          <w:p>
            <w:pPr>
              <w:pStyle w:val="ListParagraph"/>
              <w:widowControl/>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 xml:space="preserve">В течение отчетного периода на счет "А" поступило 500 тыс. руб. Впоследствии </w:t>
              <w:br/>
              <w:t xml:space="preserve">со счета "А" на счета "Б" и "В" переведены денежные средства: 300 тыс. руб. </w:t>
              <w:br/>
              <w:t>и 100 тыс. руб. соответственно.</w:t>
            </w:r>
          </w:p>
          <w:p>
            <w:pPr>
              <w:pStyle w:val="Normal"/>
              <w:widowControl/>
              <w:tabs>
                <w:tab w:val="clear" w:pos="709"/>
                <w:tab w:val="left" w:pos="454" w:leader="none"/>
                <w:tab w:val="left" w:pos="9390" w:leader="none"/>
              </w:tabs>
              <w:spacing w:before="0" w:after="0"/>
              <w:ind w:hanging="0"/>
              <w:rPr>
                <w:rFonts w:ascii="Times New Roman" w:hAnsi="Times New Roman"/>
                <w:iCs/>
                <w:sz w:val="28"/>
                <w:szCs w:val="28"/>
              </w:rPr>
            </w:pPr>
            <w:r>
              <w:rPr>
                <w:rFonts w:eastAsia="Calibri" w:cs="Times New Roman" w:ascii="Times New Roman" w:hAnsi="Times New Roman"/>
                <w:iCs/>
                <w:kern w:val="0"/>
                <w:sz w:val="28"/>
                <w:szCs w:val="28"/>
                <w:lang w:val="ru-RU" w:bidi="ar-SA"/>
              </w:rPr>
              <w:t>В данном примере:</w:t>
            </w:r>
          </w:p>
          <w:p>
            <w:pPr>
              <w:pStyle w:val="ListParagraph"/>
              <w:widowControl/>
              <w:numPr>
                <w:ilvl w:val="0"/>
                <w:numId w:val="8"/>
              </w:numPr>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перераспределение (оборот) денежных средств по счетам составил 900 тыс. руб.;</w:t>
            </w:r>
          </w:p>
          <w:p>
            <w:pPr>
              <w:pStyle w:val="ListParagraph"/>
              <w:widowControl/>
              <w:numPr>
                <w:ilvl w:val="0"/>
                <w:numId w:val="8"/>
              </w:numPr>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сумма денежных средств, поступивших на счета, – 500 тыс. руб.</w:t>
            </w:r>
          </w:p>
          <w:p>
            <w:pPr>
              <w:pStyle w:val="ListParagraph"/>
              <w:widowControl/>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trPr/>
        <w:tc>
          <w:tcPr>
            <w:tcW w:w="10195" w:type="dxa"/>
            <w:tcBorders/>
            <w:shd w:color="auto" w:fill="FFFFFF" w:themeFill="background1" w:val="clear"/>
          </w:tcPr>
          <w:p>
            <w:pPr>
              <w:pStyle w:val="ListParagraph"/>
              <w:widowControl/>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По состоянию на отчетную дату и в течение отчетного периода у служащего (работника) открыто два счета.</w:t>
            </w:r>
          </w:p>
          <w:p>
            <w:pPr>
              <w:pStyle w:val="ListParagraph"/>
              <w:widowControl/>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 xml:space="preserve">В течение отчетного периода на счет "А" поступило 400 тыс. руб.; на счет "Б" – </w:t>
              <w:br/>
              <w:t>300 тыс. руб.</w:t>
            </w:r>
          </w:p>
          <w:p>
            <w:pPr>
              <w:pStyle w:val="ListParagraph"/>
              <w:widowControl/>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 xml:space="preserve">Сначала со счета "А" на счет "Б" переведены 200 тыс. руб., потом со счета "Б" </w:t>
              <w:br/>
              <w:t>на счет "А" – 500 тыс. руб.</w:t>
            </w:r>
          </w:p>
          <w:p>
            <w:pPr>
              <w:pStyle w:val="Normal"/>
              <w:widowControl/>
              <w:tabs>
                <w:tab w:val="clear" w:pos="709"/>
                <w:tab w:val="left" w:pos="454" w:leader="none"/>
                <w:tab w:val="left" w:pos="9390" w:leader="none"/>
              </w:tabs>
              <w:spacing w:before="0" w:after="0"/>
              <w:ind w:hanging="0"/>
              <w:rPr>
                <w:rFonts w:ascii="Times New Roman" w:hAnsi="Times New Roman"/>
                <w:iCs/>
                <w:sz w:val="28"/>
                <w:szCs w:val="28"/>
              </w:rPr>
            </w:pPr>
            <w:r>
              <w:rPr>
                <w:rFonts w:eastAsia="Calibri" w:cs="Times New Roman" w:ascii="Times New Roman" w:hAnsi="Times New Roman"/>
                <w:iCs/>
                <w:kern w:val="0"/>
                <w:sz w:val="28"/>
                <w:szCs w:val="28"/>
                <w:lang w:val="ru-RU" w:bidi="ar-SA"/>
              </w:rPr>
              <w:t>В данном примере:</w:t>
            </w:r>
          </w:p>
          <w:p>
            <w:pPr>
              <w:pStyle w:val="ListParagraph"/>
              <w:widowControl/>
              <w:numPr>
                <w:ilvl w:val="0"/>
                <w:numId w:val="9"/>
              </w:numPr>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перераспределение (оборот) денежных средств по счетам составил 1400 тыс. руб.;</w:t>
            </w:r>
          </w:p>
          <w:p>
            <w:pPr>
              <w:pStyle w:val="ListParagraph"/>
              <w:widowControl/>
              <w:numPr>
                <w:ilvl w:val="0"/>
                <w:numId w:val="9"/>
              </w:numPr>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сумма денежных средств, поступивших на счета, – 700 тыс. руб.</w:t>
            </w:r>
          </w:p>
          <w:p>
            <w:pPr>
              <w:pStyle w:val="ListParagraph"/>
              <w:widowControl/>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trPr/>
        <w:tc>
          <w:tcPr>
            <w:tcW w:w="10195" w:type="dxa"/>
            <w:tcBorders/>
            <w:shd w:color="auto" w:fill="FFFFFF" w:themeFill="background1" w:val="clear"/>
          </w:tcPr>
          <w:p>
            <w:pPr>
              <w:pStyle w:val="ListParagraph"/>
              <w:widowControl/>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По состоянию на отчетную дату и в течение отчетного периода у служащего (работника)открыто два счета.</w:t>
            </w:r>
          </w:p>
          <w:p>
            <w:pPr>
              <w:pStyle w:val="ListParagraph"/>
              <w:widowControl/>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 xml:space="preserve">В течение отчетного периода на счет "А" поступило 500 тыс. руб. Впоследствии </w:t>
              <w:br/>
              <w:t>со счета "А" в банкомате сняли 500 тыс. руб. и зачислили их также с помощью банкомата на счет "Б".</w:t>
            </w:r>
          </w:p>
          <w:p>
            <w:pPr>
              <w:pStyle w:val="Normal"/>
              <w:widowControl/>
              <w:tabs>
                <w:tab w:val="clear" w:pos="709"/>
                <w:tab w:val="left" w:pos="454" w:leader="none"/>
                <w:tab w:val="left" w:pos="9390" w:leader="none"/>
              </w:tabs>
              <w:spacing w:before="0" w:after="0"/>
              <w:ind w:hanging="0"/>
              <w:rPr>
                <w:rFonts w:ascii="Times New Roman" w:hAnsi="Times New Roman"/>
                <w:iCs/>
                <w:sz w:val="28"/>
                <w:szCs w:val="28"/>
              </w:rPr>
            </w:pPr>
            <w:r>
              <w:rPr>
                <w:rFonts w:eastAsia="Calibri" w:cs="Times New Roman" w:ascii="Times New Roman" w:hAnsi="Times New Roman"/>
                <w:iCs/>
                <w:kern w:val="0"/>
                <w:sz w:val="28"/>
                <w:szCs w:val="28"/>
                <w:lang w:val="ru-RU" w:bidi="ar-SA"/>
              </w:rPr>
              <w:t>В данном примере:</w:t>
            </w:r>
          </w:p>
          <w:p>
            <w:pPr>
              <w:pStyle w:val="ListParagraph"/>
              <w:widowControl/>
              <w:numPr>
                <w:ilvl w:val="0"/>
                <w:numId w:val="11"/>
              </w:numPr>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перераспределение (оборот) денежных средств по счетам составил 1000 тыс. руб.;</w:t>
            </w:r>
          </w:p>
          <w:p>
            <w:pPr>
              <w:pStyle w:val="ListParagraph"/>
              <w:widowControl/>
              <w:numPr>
                <w:ilvl w:val="0"/>
                <w:numId w:val="11"/>
              </w:numPr>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сумма денежных средств, поступивших на счета, – 1000 тыс. руб.</w:t>
            </w:r>
          </w:p>
          <w:p>
            <w:pPr>
              <w:pStyle w:val="ListParagraph"/>
              <w:widowControl/>
              <w:tabs>
                <w:tab w:val="clear" w:pos="709"/>
                <w:tab w:val="left" w:pos="454" w:leader="none"/>
                <w:tab w:val="left" w:pos="9390" w:leader="none"/>
              </w:tabs>
              <w:spacing w:before="0" w:after="0"/>
              <w:ind w:hanging="0" w:left="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pPr>
        <w:pStyle w:val="ListParagraph"/>
        <w:ind w:firstLine="567" w:left="0"/>
        <w:rPr>
          <w:rFonts w:ascii="Times New Roman" w:hAnsi="Times New Roman"/>
          <w:sz w:val="28"/>
          <w:szCs w:val="28"/>
        </w:rPr>
      </w:pPr>
      <w:r>
        <w:rPr>
          <w:rFonts w:ascii="Times New Roman" w:hAnsi="Times New Roman"/>
          <w:sz w:val="28"/>
          <w:szCs w:val="28"/>
        </w:rPr>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Заполнение </w:t>
      </w:r>
      <w:r>
        <w:rPr>
          <w:rFonts w:ascii="Times New Roman" w:hAnsi="Times New Roman"/>
          <w:b/>
          <w:sz w:val="28"/>
        </w:rPr>
        <w:t>графы "Сумма поступивших на счет денежных средств</w:t>
      </w:r>
      <w:r>
        <w:rPr>
          <w:rFonts w:ascii="Times New Roman" w:hAnsi="Times New Roman"/>
          <w:b/>
          <w:sz w:val="28"/>
          <w:szCs w:val="28"/>
        </w:rPr>
        <w:t xml:space="preserve"> (руб.)" </w:t>
      </w:r>
      <w:r>
        <w:rPr>
          <w:rFonts w:ascii="Times New Roman" w:hAnsi="Times New Roman"/>
          <w:sz w:val="28"/>
          <w:szCs w:val="28"/>
        </w:rPr>
        <w:t>при отсутствии оснований не является нарушением.</w:t>
      </w:r>
    </w:p>
    <w:p>
      <w:pPr>
        <w:pStyle w:val="Normal"/>
        <w:ind w:firstLine="567"/>
        <w:rPr>
          <w:rFonts w:ascii="Times New Roman" w:hAnsi="Times New Roman"/>
          <w:b/>
          <w:sz w:val="28"/>
          <w:szCs w:val="28"/>
        </w:rPr>
      </w:pPr>
      <w:r>
        <w:rPr>
          <w:rFonts w:ascii="Times New Roman" w:hAnsi="Times New Roman"/>
          <w:b/>
          <w:sz w:val="28"/>
          <w:szCs w:val="28"/>
        </w:rPr>
        <w:t>Совместный счет</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firstLine="567" w:left="0"/>
        <w:rPr>
          <w:rStyle w:val="Style12"/>
          <w:rFonts w:ascii="Times New Roman" w:hAnsi="Times New Roman" w:cs="Times New Roman"/>
          <w:sz w:val="28"/>
          <w:szCs w:val="28"/>
        </w:rPr>
      </w:pPr>
      <w:r>
        <w:rPr>
          <w:rStyle w:val="Style12"/>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firstLine="567" w:left="0"/>
        <w:rPr>
          <w:rStyle w:val="Style12"/>
          <w:rFonts w:ascii="Times New Roman" w:hAnsi="Times New Roman" w:cs="Times New Roman"/>
          <w:sz w:val="28"/>
          <w:szCs w:val="28"/>
        </w:rPr>
      </w:pPr>
      <w:r>
        <w:rPr>
          <w:rStyle w:val="Style12"/>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firstLine="567" w:left="0"/>
        <w:rPr>
          <w:rFonts w:ascii="Times New Roman" w:hAnsi="Times New Roman"/>
          <w:b/>
          <w:sz w:val="28"/>
          <w:szCs w:val="28"/>
        </w:rPr>
      </w:pPr>
      <w:r>
        <w:rPr>
          <w:rFonts w:ascii="Times New Roman" w:hAnsi="Times New Roman"/>
          <w:b/>
          <w:sz w:val="28"/>
          <w:szCs w:val="28"/>
        </w:rPr>
        <w:t xml:space="preserve">Кредитные карты, карты с овердрафтом, электронные средства платежа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Банк (иная кредитная организация) выпускает следующие виды карт (таблица № 6):</w:t>
      </w:r>
    </w:p>
    <w:tbl>
      <w:tblPr>
        <w:tblStyle w:val="af4"/>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26"/>
        <w:gridCol w:w="8221"/>
      </w:tblGrid>
      <w:tr>
        <w:trPr/>
        <w:tc>
          <w:tcPr>
            <w:tcW w:w="2126" w:type="dxa"/>
            <w:tcBorders/>
          </w:tcPr>
          <w:p>
            <w:pPr>
              <w:pStyle w:val="ListParagraph"/>
              <w:widowControl/>
              <w:spacing w:before="0" w:after="0"/>
              <w:ind w:hanging="0" w:left="0"/>
              <w:contextualSpacing/>
              <w:rPr>
                <w:rFonts w:ascii="Times New Roman" w:hAnsi="Times New Roman"/>
                <w:sz w:val="28"/>
                <w:szCs w:val="28"/>
              </w:rPr>
            </w:pPr>
            <w:r>
              <w:rPr>
                <w:rFonts w:eastAsia="Calibri" w:cs="Times New Roman" w:ascii="Times New Roman" w:hAnsi="Times New Roman"/>
                <w:kern w:val="0"/>
                <w:sz w:val="28"/>
                <w:szCs w:val="28"/>
                <w:lang w:val="ru-RU" w:bidi="ar-SA"/>
              </w:rPr>
              <w:t>Расчетная (дебетовая)</w:t>
            </w:r>
          </w:p>
        </w:tc>
        <w:tc>
          <w:tcPr>
            <w:tcW w:w="8221" w:type="dxa"/>
            <w:tcBorders/>
          </w:tcPr>
          <w:p>
            <w:pPr>
              <w:pStyle w:val="ListParagraph"/>
              <w:widowControl/>
              <w:spacing w:before="0" w:after="0"/>
              <w:ind w:hanging="0" w:left="0"/>
              <w:contextualSpacing/>
              <w:rPr>
                <w:rFonts w:ascii="Times New Roman" w:hAnsi="Times New Roman"/>
                <w:sz w:val="28"/>
                <w:szCs w:val="28"/>
              </w:rPr>
            </w:pPr>
            <w:r>
              <w:rPr>
                <w:rFonts w:eastAsia="Calibri" w:cs="Times New Roman" w:ascii="Times New Roman" w:hAnsi="Times New Roman"/>
                <w:kern w:val="0"/>
                <w:sz w:val="28"/>
                <w:szCs w:val="28"/>
                <w:lang w:val="ru-RU" w:bidi="ar-SA"/>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6" w:type="dxa"/>
            <w:tcBorders/>
          </w:tcPr>
          <w:p>
            <w:pPr>
              <w:pStyle w:val="ListParagraph"/>
              <w:widowControl/>
              <w:spacing w:before="0" w:after="0"/>
              <w:ind w:hanging="0" w:left="0"/>
              <w:contextualSpacing/>
              <w:rPr>
                <w:rFonts w:ascii="Times New Roman" w:hAnsi="Times New Roman"/>
                <w:sz w:val="28"/>
                <w:szCs w:val="28"/>
              </w:rPr>
            </w:pPr>
            <w:r>
              <w:rPr>
                <w:rFonts w:eastAsia="Calibri" w:cs="Times New Roman" w:ascii="Times New Roman" w:hAnsi="Times New Roman"/>
                <w:kern w:val="0"/>
                <w:sz w:val="28"/>
                <w:szCs w:val="28"/>
                <w:lang w:val="ru-RU" w:bidi="ar-SA"/>
              </w:rPr>
              <w:t>Кредитная</w:t>
            </w:r>
          </w:p>
        </w:tc>
        <w:tc>
          <w:tcPr>
            <w:tcW w:w="8221" w:type="dxa"/>
            <w:tcBorders/>
          </w:tcPr>
          <w:p>
            <w:pPr>
              <w:pStyle w:val="ListParagraph"/>
              <w:widowControl/>
              <w:spacing w:before="0" w:after="0"/>
              <w:ind w:hanging="0" w:left="0"/>
              <w:contextualSpacing/>
              <w:rPr>
                <w:rFonts w:ascii="Times New Roman" w:hAnsi="Times New Roman"/>
                <w:sz w:val="28"/>
                <w:szCs w:val="28"/>
              </w:rPr>
            </w:pPr>
            <w:r>
              <w:rPr>
                <w:rFonts w:eastAsia="Calibri" w:cs="Times New Roman" w:ascii="Times New Roman" w:hAnsi="Times New Roman"/>
                <w:kern w:val="0"/>
                <w:sz w:val="28"/>
                <w:szCs w:val="28"/>
                <w:lang w:val="ru-RU" w:bidi="ar-SA"/>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Расчетная (дебетовая) и, как правило, кредитные карты предполагают открытие и ведение банком (иной кредитной организацией) счета.</w:t>
      </w:r>
    </w:p>
    <w:p>
      <w:pPr>
        <w:pStyle w:val="ListParagraph"/>
        <w:ind w:firstLine="567" w:left="0"/>
        <w:rPr>
          <w:rFonts w:ascii="Times New Roman" w:hAnsi="Times New Roman"/>
          <w:color w:val="000000"/>
          <w:sz w:val="28"/>
          <w:szCs w:val="28"/>
        </w:rPr>
      </w:pPr>
      <w:r>
        <w:rPr>
          <w:rFonts w:ascii="Times New Roman" w:hAnsi="Times New Roman"/>
          <w:sz w:val="28"/>
          <w:szCs w:val="28"/>
        </w:rPr>
        <w:t xml:space="preserve">Кроме того, необходимо обращать внимание, что </w:t>
      </w:r>
      <w:r>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pPr>
        <w:pStyle w:val="ListParagraph"/>
        <w:ind w:firstLine="567" w:left="0"/>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w:t>
        <w:br/>
        <w:t xml:space="preserve">может быть получена в ФНС России. Информацией о ранее открытых счетах </w:t>
        <w:br/>
        <w:t xml:space="preserve">в банках (если такие счета не закрывались либо по ним не было изменений) </w:t>
        <w:br/>
        <w:t xml:space="preserve">налоговые органы не располагают. Порядок обращения за данными </w:t>
        <w:br/>
        <w:t xml:space="preserve">сведениями изложен на официальном сайте ФНС России по ссылке: </w:t>
      </w:r>
      <w:hyperlink r:id="rId25" w:tgtFrame="https://www.nalog.ru/rn77/related_activities/accounting/bank_account/">
        <w:r>
          <w:rPr>
            <w:rStyle w:val="Hyperlink"/>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firstLine="567" w:left="0"/>
        <w:rPr>
          <w:rFonts w:ascii="Times New Roman" w:hAnsi="Times New Roman"/>
          <w:color w:val="000000"/>
          <w:sz w:val="28"/>
          <w:szCs w:val="28"/>
        </w:rPr>
      </w:pPr>
      <w:r>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w:t>
      </w:r>
      <w:r>
        <w:rPr>
          <w:rFonts w:ascii="Times New Roman" w:hAnsi="Times New Roman"/>
          <w:sz w:val="28"/>
          <w:szCs w:val="28"/>
        </w:rPr>
        <w:t>:</w:t>
      </w:r>
    </w:p>
    <w:p>
      <w:pPr>
        <w:pStyle w:val="ListParagraph"/>
        <w:numPr>
          <w:ilvl w:val="1"/>
          <w:numId w:val="1"/>
        </w:numPr>
        <w:ind w:firstLine="567" w:left="0"/>
        <w:rPr>
          <w:rFonts w:ascii="Times New Roman" w:hAnsi="Times New Roman"/>
          <w:sz w:val="28"/>
          <w:szCs w:val="28"/>
        </w:rPr>
      </w:pPr>
      <w:r>
        <w:rPr>
          <w:rFonts w:ascii="Times New Roman" w:hAnsi="Times New Roman"/>
          <w:sz w:val="28"/>
        </w:rPr>
        <w:t>счета</w:t>
      </w:r>
      <w:r>
        <w:rPr>
          <w:rFonts w:ascii="Times New Roman" w:hAnsi="Times New Roman"/>
          <w:sz w:val="28"/>
          <w:szCs w:val="28"/>
        </w:rPr>
        <w:t xml:space="preserve">,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pPr>
        <w:pStyle w:val="ListParagraph"/>
        <w:numPr>
          <w:ilvl w:val="1"/>
          <w:numId w:val="1"/>
        </w:numPr>
        <w:ind w:firstLine="567" w:left="0"/>
        <w:rPr>
          <w:rFonts w:ascii="Times New Roman" w:hAnsi="Times New Roman"/>
          <w:sz w:val="28"/>
          <w:szCs w:val="28"/>
        </w:rPr>
      </w:pPr>
      <w:r>
        <w:rPr>
          <w:rFonts w:ascii="Times New Roman" w:hAnsi="Times New Roman"/>
          <w:sz w:val="28"/>
          <w:szCs w:val="28"/>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pPr>
        <w:pStyle w:val="ListParagraph"/>
        <w:numPr>
          <w:ilvl w:val="1"/>
          <w:numId w:val="1"/>
        </w:numPr>
        <w:ind w:firstLine="567" w:left="0"/>
        <w:rPr>
          <w:rFonts w:ascii="Times New Roman" w:hAnsi="Times New Roman"/>
          <w:sz w:val="28"/>
          <w:szCs w:val="28"/>
        </w:rPr>
      </w:pPr>
      <w:r>
        <w:rPr>
          <w:rFonts w:ascii="Times New Roman" w:hAnsi="Times New Roman"/>
          <w:sz w:val="28"/>
          <w:szCs w:val="28"/>
        </w:rPr>
        <w:t>электронные средства платежа, в том числе "электронные кошельки" (например, "ЮMoney", "</w:t>
      </w:r>
      <w:r>
        <w:rPr>
          <w:rFonts w:ascii="Times New Roman" w:hAnsi="Times New Roman"/>
          <w:sz w:val="28"/>
          <w:szCs w:val="28"/>
          <w:lang w:val="en-US"/>
        </w:rPr>
        <w:t>Qiwi</w:t>
      </w:r>
      <w:r>
        <w:rPr>
          <w:rFonts w:ascii="Times New Roman" w:hAnsi="Times New Roman"/>
          <w:sz w:val="28"/>
          <w:szCs w:val="28"/>
        </w:rPr>
        <w:t xml:space="preserve">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pPr>
        <w:pStyle w:val="Normal"/>
        <w:rPr>
          <w:rFonts w:ascii="Times New Roman" w:hAnsi="Times New Roman"/>
          <w:sz w:val="28"/>
          <w:szCs w:val="28"/>
        </w:rPr>
      </w:pPr>
      <w:r>
        <w:rPr>
          <w:rFonts w:ascii="Times New Roman" w:hAnsi="Times New Roman"/>
          <w:sz w:val="28"/>
          <w:szCs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pPr>
        <w:pStyle w:val="ListParagraph"/>
        <w:ind w:firstLine="567" w:left="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firstLine="567" w:left="0"/>
        <w:rPr>
          <w:rFonts w:ascii="Times New Roman" w:hAnsi="Times New Roman"/>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firstLine="567" w:left="0"/>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6" w:tgtFrame="https://www.cbr.ru/banking_sector/likvidbase/">
        <w:r>
          <w:rPr>
            <w:rStyle w:val="Hyperlink"/>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Pr>
          <w:rFonts w:ascii="Times New Roman" w:hAnsi="Times New Roman"/>
          <w:b/>
          <w:sz w:val="28"/>
        </w:rPr>
        <w:t>"Доход от ценных бумаг и долей участия в коммерческих организациях"</w:t>
      </w:r>
      <w:r>
        <w:rPr>
          <w:rFonts w:ascii="Times New Roman" w:hAnsi="Times New Roman"/>
          <w:sz w:val="28"/>
          <w:szCs w:val="28"/>
        </w:rPr>
        <w:t>).</w:t>
      </w:r>
    </w:p>
    <w:p>
      <w:pPr>
        <w:pStyle w:val="ListParagraph"/>
        <w:ind w:firstLine="567" w:left="0"/>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firstLine="567" w:left="0"/>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firstLine="567" w:left="0"/>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firstLine="567" w:left="0"/>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firstLine="567" w:left="0"/>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firstLine="567" w:left="0"/>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firstLine="567" w:left="0"/>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pStyle w:val="Normal"/>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b/>
          <w:sz w:val="28"/>
        </w:rPr>
        <w:t>"</w:t>
      </w:r>
      <w:r>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Местонахождение организации (адрес)</w:t>
      </w:r>
      <w:r>
        <w:rPr>
          <w:rFonts w:ascii="Times New Roman" w:hAnsi="Times New Roman"/>
          <w:b/>
          <w:sz w:val="28"/>
        </w:rPr>
        <w:t>"</w:t>
      </w:r>
      <w:r>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pPr>
        <w:pStyle w:val="ListParagraph"/>
        <w:numPr>
          <w:ilvl w:val="0"/>
          <w:numId w:val="1"/>
        </w:numPr>
        <w:ind w:firstLine="567" w:left="0"/>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ind w:firstLine="567" w:left="0"/>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firstLine="567" w:left="0"/>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firstLine="567" w:left="0"/>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СПО "Справки БК" предусмотрена графа </w:t>
      </w:r>
      <w:r>
        <w:rPr>
          <w:rFonts w:ascii="Times New Roman" w:hAnsi="Times New Roman"/>
          <w:b/>
          <w:sz w:val="28"/>
        </w:rPr>
        <w:t>"Общая стоимость</w:t>
      </w:r>
      <w:r>
        <w:rPr>
          <w:rFonts w:ascii="Times New Roman" w:hAnsi="Times New Roman"/>
          <w:b/>
          <w:sz w:val="28"/>
          <w:szCs w:val="28"/>
        </w:rPr>
        <w:t xml:space="preserve"> (руб.)"</w:t>
      </w:r>
      <w:r>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firstLine="567" w:left="0"/>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ind w:firstLine="567" w:left="0"/>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Основание участия</w:t>
      </w:r>
      <w:r>
        <w:rPr>
          <w:rFonts w:ascii="Times New Roman" w:hAnsi="Times New Roman"/>
          <w:b/>
          <w:sz w:val="28"/>
        </w:rPr>
        <w:t>"</w:t>
      </w:r>
      <w:r>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firstLine="567" w:left="0"/>
        <w:rPr>
          <w:rFonts w:ascii="Times New Roman" w:hAnsi="Times New Roman"/>
          <w:sz w:val="28"/>
          <w:szCs w:val="28"/>
        </w:rPr>
      </w:pPr>
      <w:r>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rPr>
        <w:t>"</w:t>
      </w:r>
      <w:r>
        <w:rPr>
          <w:rFonts w:ascii="Times New Roman" w:hAnsi="Times New Roman"/>
          <w:b/>
          <w:sz w:val="28"/>
          <w:szCs w:val="28"/>
        </w:rPr>
        <w:t>Основание участия</w:t>
      </w:r>
      <w:r>
        <w:rPr>
          <w:rFonts w:ascii="Times New Roman" w:hAnsi="Times New Roman"/>
          <w:b/>
          <w:sz w:val="28"/>
        </w:rPr>
        <w:t>"</w:t>
      </w:r>
      <w:r>
        <w:rPr>
          <w:rFonts w:ascii="Times New Roman" w:hAnsi="Times New Roman"/>
          <w:sz w:val="28"/>
          <w:szCs w:val="28"/>
        </w:rPr>
        <w:t xml:space="preserve"> указывается "приобретено на организованных торгах", а также указывается год приобретения.</w:t>
      </w:r>
    </w:p>
    <w:p>
      <w:pPr>
        <w:pStyle w:val="ListParagraph"/>
        <w:ind w:hanging="0" w:left="567"/>
        <w:rPr>
          <w:rFonts w:ascii="Times New Roman" w:hAnsi="Times New Roman"/>
          <w:b/>
          <w:sz w:val="28"/>
          <w:szCs w:val="28"/>
        </w:rPr>
      </w:pPr>
      <w:r>
        <w:rPr>
          <w:rFonts w:ascii="Times New Roman" w:hAnsi="Times New Roman"/>
          <w:b/>
          <w:sz w:val="28"/>
          <w:szCs w:val="28"/>
        </w:rPr>
        <w:t>Подраздел 5.2. Иные ценные бумаги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Номинальная величина обязательства (руб.)"</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firstLine="567" w:left="0"/>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Общая стоимость (руб.)"</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pPr>
        <w:pStyle w:val="ListParagraph"/>
        <w:ind w:firstLine="567" w:left="0"/>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numPr>
          <w:ilvl w:val="0"/>
          <w:numId w:val="1"/>
        </w:numPr>
        <w:tabs>
          <w:tab w:val="clear" w:pos="709"/>
          <w:tab w:val="left" w:pos="1418" w:leader="none"/>
        </w:tabs>
        <w:ind w:firstLine="567" w:left="0"/>
        <w:rPr>
          <w:rFonts w:ascii="Times New Roman" w:hAnsi="Times New Roman"/>
          <w:sz w:val="28"/>
          <w:szCs w:val="28"/>
        </w:rPr>
      </w:pPr>
      <w:r>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ListParagraph"/>
        <w:tabs>
          <w:tab w:val="clear" w:pos="709"/>
          <w:tab w:val="left" w:pos="1418" w:leader="none"/>
        </w:tabs>
        <w:ind w:firstLine="567" w:left="0"/>
        <w:rPr>
          <w:rFonts w:ascii="Times New Roman" w:hAnsi="Times New Roman"/>
          <w:sz w:val="28"/>
          <w:szCs w:val="28"/>
        </w:rPr>
      </w:pPr>
      <w:r>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7">
        <w:r>
          <w:rPr>
            <w:rStyle w:val="Hyperlink"/>
            <w:rFonts w:ascii="Times New Roman" w:hAnsi="Times New Roman"/>
            <w:sz w:val="28"/>
            <w:szCs w:val="28"/>
          </w:rPr>
          <w:t>https://mintrud.gov.ru/ministry/programms/anticorruption/9/21</w:t>
        </w:r>
      </w:hyperlink>
      <w:r>
        <w:rPr>
          <w:rFonts w:ascii="Times New Roman" w:hAnsi="Times New Roman"/>
          <w:sz w:val="28"/>
          <w:szCs w:val="28"/>
        </w:rPr>
        <w:t>).</w:t>
      </w:r>
    </w:p>
    <w:p>
      <w:pPr>
        <w:pStyle w:val="ListParagraph"/>
        <w:tabs>
          <w:tab w:val="clear" w:pos="709"/>
          <w:tab w:val="left" w:pos="1418" w:leader="none"/>
        </w:tabs>
        <w:ind w:firstLine="567" w:left="0"/>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sz w:val="28"/>
          <w:szCs w:val="28"/>
        </w:rPr>
      </w:pPr>
      <w:r>
        <w:rPr>
          <w:rFonts w:ascii="Times New Roman" w:hAnsi="Times New Roman"/>
          <w:b/>
          <w:sz w:val="28"/>
          <w:szCs w:val="28"/>
        </w:rPr>
        <w:t xml:space="preserve">РАЗДЕЛ 6. СВЕДЕНИЯ ОБ ОБЯЗАТЕЛЬСТВАХ </w:t>
      </w:r>
    </w:p>
    <w:p>
      <w:pPr>
        <w:pStyle w:val="Normal"/>
        <w:ind w:hanging="0"/>
        <w:jc w:val="center"/>
        <w:rPr>
          <w:rFonts w:ascii="Times New Roman" w:hAnsi="Times New Roman"/>
          <w:b/>
          <w:sz w:val="28"/>
          <w:szCs w:val="28"/>
        </w:rPr>
      </w:pPr>
      <w:r>
        <w:rPr>
          <w:rFonts w:ascii="Times New Roman" w:hAnsi="Times New Roman"/>
          <w:b/>
          <w:sz w:val="28"/>
          <w:szCs w:val="28"/>
        </w:rPr>
        <w:t>ИМУЩЕСТВЕННОГО ХАРАКТЕРА</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firstLine="567" w:left="0"/>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firstLine="567" w:left="0"/>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pPr>
        <w:pStyle w:val="ListParagraph"/>
        <w:numPr>
          <w:ilvl w:val="0"/>
          <w:numId w:val="7"/>
        </w:numPr>
        <w:ind w:firstLine="425" w:left="142"/>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7"/>
        </w:numPr>
        <w:ind w:firstLine="425" w:left="142"/>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соответствующей справки. </w:t>
      </w:r>
    </w:p>
    <w:p>
      <w:pPr>
        <w:pStyle w:val="ListParagraph"/>
        <w:ind w:hanging="0" w:left="567"/>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firstLine="567" w:left="0"/>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firstLine="567" w:left="0"/>
        <w:rPr>
          <w:rFonts w:ascii="Times New Roman" w:hAnsi="Times New Roman"/>
          <w:sz w:val="28"/>
          <w:szCs w:val="28"/>
        </w:rPr>
      </w:pPr>
      <w:bookmarkStart w:id="5" w:name="Par626"/>
      <w:bookmarkEnd w:id="5"/>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Вид и сроки пользования</w:t>
      </w:r>
      <w:r>
        <w:rPr>
          <w:rFonts w:ascii="Times New Roman" w:hAnsi="Times New Roman"/>
          <w:b/>
          <w:sz w:val="28"/>
        </w:rPr>
        <w:t>"</w:t>
      </w:r>
      <w:r>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pPr>
        <w:pStyle w:val="ListParagraph"/>
        <w:numPr>
          <w:ilvl w:val="0"/>
          <w:numId w:val="1"/>
        </w:numPr>
        <w:ind w:firstLine="567" w:left="0"/>
        <w:rPr>
          <w:rFonts w:ascii="Times New Roman" w:hAnsi="Times New Roman"/>
          <w:sz w:val="28"/>
          <w:szCs w:val="28"/>
        </w:rPr>
      </w:pPr>
      <w:bookmarkStart w:id="6" w:name="Par627"/>
      <w:bookmarkEnd w:id="6"/>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Основание пользования</w:t>
      </w:r>
      <w:r>
        <w:rPr>
          <w:rFonts w:ascii="Times New Roman" w:hAnsi="Times New Roman"/>
          <w:b/>
          <w:sz w:val="28"/>
        </w:rPr>
        <w:t>"</w:t>
      </w:r>
      <w:r>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pPr>
        <w:pStyle w:val="ListParagraph"/>
        <w:ind w:firstLine="567" w:left="0"/>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firstLine="567" w:left="0"/>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 xml:space="preserve">Графа </w:t>
      </w:r>
      <w:r>
        <w:rPr>
          <w:rFonts w:ascii="Times New Roman" w:hAnsi="Times New Roman"/>
          <w:b/>
          <w:sz w:val="28"/>
        </w:rPr>
        <w:t>"</w:t>
      </w:r>
      <w:r>
        <w:rPr>
          <w:rFonts w:ascii="Times New Roman" w:hAnsi="Times New Roman"/>
          <w:b/>
          <w:sz w:val="28"/>
          <w:szCs w:val="28"/>
        </w:rPr>
        <w:t>Площадь (кв. м)</w:t>
      </w:r>
      <w:r>
        <w:rPr>
          <w:rFonts w:ascii="Times New Roman" w:hAnsi="Times New Roman"/>
          <w:b/>
          <w:sz w:val="28"/>
        </w:rPr>
        <w:t>"</w:t>
      </w:r>
      <w:r>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pPr>
        <w:pStyle w:val="ListParagraph"/>
        <w:ind w:firstLine="567" w:left="0"/>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firstLine="567" w:left="0"/>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firstLine="567" w:left="0"/>
        <w:rPr>
          <w:rFonts w:ascii="Times New Roman" w:hAnsi="Times New Roman"/>
          <w:sz w:val="28"/>
          <w:szCs w:val="28"/>
        </w:rPr>
      </w:pPr>
      <w:bookmarkStart w:id="7" w:name="Par629"/>
      <w:bookmarkEnd w:id="7"/>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Содержание обязательства</w:t>
      </w:r>
      <w:r>
        <w:rPr>
          <w:rFonts w:ascii="Times New Roman" w:hAnsi="Times New Roman"/>
          <w:b/>
          <w:sz w:val="28"/>
        </w:rPr>
        <w:t>"</w:t>
      </w:r>
      <w:r>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Кредитор (должник)</w:t>
      </w:r>
      <w:r>
        <w:rPr>
          <w:rFonts w:ascii="Times New Roman" w:hAnsi="Times New Roman"/>
          <w:b/>
          <w:sz w:val="28"/>
        </w:rPr>
        <w:t>"</w:t>
      </w:r>
      <w:r>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firstLine="567" w:left="0"/>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Pr>
          <w:rFonts w:ascii="Times New Roman" w:hAnsi="Times New Roman"/>
          <w:b/>
          <w:sz w:val="28"/>
        </w:rPr>
        <w:t>"Кредитор (должник)"</w:t>
      </w:r>
      <w:r>
        <w:rPr>
          <w:rFonts w:ascii="Times New Roman" w:hAnsi="Times New Roman"/>
          <w:sz w:val="28"/>
          <w:szCs w:val="28"/>
        </w:rPr>
        <w:t xml:space="preserve">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b/>
          <w:sz w:val="28"/>
        </w:rPr>
        <w:t>"Кредитор (должник)"</w:t>
      </w:r>
      <w:r>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firstLine="567" w:left="0"/>
        <w:rPr>
          <w:rFonts w:ascii="Times New Roman" w:hAnsi="Times New Roman"/>
          <w:sz w:val="28"/>
          <w:szCs w:val="28"/>
        </w:rPr>
      </w:pPr>
      <w:bookmarkStart w:id="8" w:name="Par631"/>
      <w:bookmarkEnd w:id="8"/>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Основание возникновения</w:t>
      </w:r>
      <w:r>
        <w:rPr>
          <w:rFonts w:ascii="Times New Roman" w:hAnsi="Times New Roman"/>
          <w:b/>
          <w:sz w:val="28"/>
        </w:rPr>
        <w:t>"</w:t>
      </w:r>
      <w:r>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b/>
          <w:sz w:val="28"/>
        </w:rPr>
        <w:t xml:space="preserve">" </w:t>
      </w:r>
      <w:r>
        <w:rPr>
          <w:rFonts w:ascii="Times New Roman" w:hAnsi="Times New Roman"/>
          <w:sz w:val="28"/>
          <w:szCs w:val="28"/>
        </w:rPr>
        <w:t xml:space="preserve">указываются: </w:t>
      </w:r>
    </w:p>
    <w:p>
      <w:pPr>
        <w:pStyle w:val="ListParagraph"/>
        <w:widowControl w:val="false"/>
        <w:ind w:firstLine="567" w:left="0"/>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firstLine="567" w:left="0"/>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ListParagraph"/>
        <w:widowControl w:val="false"/>
        <w:ind w:firstLine="567" w:left="0"/>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8" w:tgtFrame="https://www.cbr.ru/currency_base/daily/">
        <w:r>
          <w:rPr>
            <w:rStyle w:val="Hyperlink"/>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firstLine="567" w:left="0"/>
        <w:rPr>
          <w:rFonts w:ascii="Times New Roman" w:hAnsi="Times New Roman"/>
          <w:sz w:val="28"/>
          <w:szCs w:val="28"/>
        </w:rPr>
      </w:pPr>
      <w:bookmarkStart w:id="9" w:name="Par633"/>
      <w:bookmarkEnd w:id="9"/>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Условия обязательства</w:t>
      </w:r>
      <w:r>
        <w:rPr>
          <w:rFonts w:ascii="Times New Roman" w:hAnsi="Times New Roman"/>
          <w:b/>
          <w:sz w:val="28"/>
        </w:rPr>
        <w:t>"</w:t>
      </w:r>
      <w:r>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firstLine="567" w:left="0"/>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firstLine="567" w:left="0"/>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firstLine="567" w:left="0"/>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фьючерсный договор;</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firstLine="567" w:left="0"/>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hAnsi="Times New Roman"/>
          <w:b/>
          <w:sz w:val="28"/>
          <w:szCs w:val="28"/>
        </w:rPr>
        <w:t>"Кредитор (должник)"</w:t>
      </w:r>
      <w:r>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b/>
          <w:sz w:val="28"/>
        </w:rPr>
        <w:t xml:space="preserve">"Условие обязательства" </w:t>
      </w:r>
      <w:r>
        <w:rPr>
          <w:rFonts w:ascii="Times New Roman" w:hAnsi="Times New Roman"/>
          <w:sz w:val="28"/>
          <w:szCs w:val="28"/>
        </w:rPr>
        <w:t xml:space="preserve">можно отразить, что денежные средства переданы застройщику в полном объеме. В графе </w:t>
      </w:r>
      <w:r>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ListParagraph"/>
        <w:tabs>
          <w:tab w:val="clear" w:pos="709"/>
          <w:tab w:val="left" w:pos="0" w:leader="none"/>
          <w:tab w:val="left" w:pos="1418" w:leader="none"/>
        </w:tabs>
        <w:ind w:firstLine="567" w:left="0"/>
        <w:rPr>
          <w:rFonts w:ascii="Times New Roman" w:hAnsi="Times New Roman"/>
          <w:sz w:val="28"/>
          <w:szCs w:val="28"/>
        </w:rPr>
      </w:pPr>
      <w:r>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pPr>
        <w:pStyle w:val="ListParagraph"/>
        <w:tabs>
          <w:tab w:val="clear" w:pos="709"/>
          <w:tab w:val="left" w:pos="0" w:leader="none"/>
          <w:tab w:val="left" w:pos="1418" w:leader="none"/>
        </w:tabs>
        <w:ind w:firstLine="567" w:left="0"/>
        <w:rPr>
          <w:rFonts w:ascii="Times New Roman" w:hAnsi="Times New Roman"/>
          <w:sz w:val="28"/>
          <w:szCs w:val="28"/>
        </w:rPr>
      </w:pPr>
      <w:r>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firstLine="567" w:left="0"/>
        <w:rPr>
          <w:rFonts w:ascii="Times New Roman" w:hAnsi="Times New Roman"/>
          <w:sz w:val="28"/>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sz w:val="28"/>
          <w:szCs w:val="28"/>
        </w:rPr>
        <w:t>"Условие обязательства"</w:t>
      </w:r>
      <w:r>
        <w:rPr>
          <w:rFonts w:ascii="Times New Roman" w:hAnsi="Times New Roman"/>
          <w:sz w:val="28"/>
          <w:szCs w:val="28"/>
        </w:rPr>
        <w:t xml:space="preserve"> названного подраздела указать созаемщиков.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"Содержание обязательства"</w:t>
      </w:r>
      <w:r>
        <w:rPr>
          <w:rFonts w:ascii="Times New Roman" w:hAnsi="Times New Roman"/>
          <w:sz w:val="28"/>
          <w:szCs w:val="28"/>
        </w:rPr>
        <w:t xml:space="preserve"> указывается вид страхования, в графе </w:t>
      </w:r>
      <w:r>
        <w:rPr>
          <w:rFonts w:ascii="Times New Roman" w:hAnsi="Times New Roman"/>
          <w:b/>
          <w:sz w:val="28"/>
        </w:rPr>
        <w:t>"Кредитор (должник)"</w:t>
      </w:r>
      <w:r>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sz w:val="28"/>
        </w:rPr>
        <w:t>"Сумма обязательства"</w:t>
      </w:r>
      <w:r>
        <w:rPr>
          <w:rFonts w:ascii="Times New Roman" w:hAnsi="Times New Roman"/>
          <w:sz w:val="28"/>
          <w:szCs w:val="28"/>
        </w:rPr>
        <w:t xml:space="preserve"> указывается страховая премия по договору. В графе </w:t>
      </w:r>
      <w:r>
        <w:rPr>
          <w:rFonts w:ascii="Times New Roman" w:hAnsi="Times New Roman"/>
          <w:b/>
          <w:sz w:val="28"/>
        </w:rPr>
        <w:t>"Условия обязательства"</w:t>
      </w:r>
      <w:r>
        <w:rPr>
          <w:rFonts w:ascii="Times New Roman" w:hAnsi="Times New Roman"/>
          <w:sz w:val="28"/>
          <w:szCs w:val="28"/>
        </w:rPr>
        <w:t xml:space="preserve"> могут быть указаны сроки окончания договора страхования.</w:t>
      </w:r>
    </w:p>
    <w:p>
      <w:pPr>
        <w:pStyle w:val="Normal"/>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szCs w:val="28"/>
          <w:lang w:val="en-US"/>
        </w:rPr>
        <w:t>I</w:t>
      </w:r>
      <w:r>
        <w:rPr>
          <w:rFonts w:ascii="Times New Roman" w:hAnsi="Times New Roman"/>
          <w:sz w:val="28"/>
          <w:szCs w:val="28"/>
        </w:rPr>
        <w:t xml:space="preserve">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w:t>
      </w:r>
    </w:p>
    <w:p>
      <w:pPr>
        <w:pStyle w:val="Normal"/>
        <w:ind w:hanging="0"/>
        <w:jc w:val="left"/>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firstLine="567" w:left="0"/>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 xml:space="preserve">В строках </w:t>
      </w:r>
      <w:r>
        <w:rPr>
          <w:rFonts w:ascii="Times New Roman" w:hAnsi="Times New Roman"/>
          <w:b/>
          <w:sz w:val="28"/>
        </w:rPr>
        <w:t>"Земельные участки"</w:t>
      </w:r>
      <w:r>
        <w:rPr>
          <w:rFonts w:ascii="Times New Roman" w:hAnsi="Times New Roman"/>
          <w:sz w:val="28"/>
          <w:szCs w:val="28"/>
        </w:rPr>
        <w:t xml:space="preserve"> и </w:t>
      </w:r>
      <w:r>
        <w:rPr>
          <w:rFonts w:ascii="Times New Roman" w:hAnsi="Times New Roman"/>
          <w:b/>
          <w:sz w:val="28"/>
        </w:rPr>
        <w:t>"Иное недвижимое имущество"</w:t>
      </w:r>
      <w:r>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"Транспортные средства"</w:t>
      </w:r>
      <w:r>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"Ценные бумаги"</w:t>
      </w:r>
      <w:r>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widowControl w:val="false"/>
        <w:ind w:firstLine="567" w:left="0"/>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"Цифровые финансовые активы"</w:t>
      </w:r>
      <w:r>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"Цифровые права, включающие одновременно цифровые финансовые активы и иные цифровые права"</w:t>
      </w:r>
      <w:r>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"Утилитарные цифровые права"</w:t>
      </w:r>
      <w:r>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"Цифровая валюта"</w:t>
      </w:r>
      <w:r>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firstLine="567" w:left="0"/>
        <w:rPr>
          <w:rFonts w:ascii="Times New Roman" w:hAnsi="Times New Roman"/>
          <w:sz w:val="28"/>
          <w:szCs w:val="28"/>
        </w:rPr>
      </w:pPr>
      <w:r>
        <w:rPr>
          <w:rFonts w:ascii="Times New Roman" w:hAnsi="Times New Roman"/>
          <w:bCs/>
          <w:sz w:val="28"/>
          <w:szCs w:val="28"/>
        </w:rPr>
        <w:t xml:space="preserve">В графе </w:t>
      </w:r>
      <w:r>
        <w:rPr>
          <w:rFonts w:ascii="Times New Roman" w:hAnsi="Times New Roman"/>
          <w:b/>
          <w:sz w:val="28"/>
        </w:rPr>
        <w:t>"Приобретатель имущества</w:t>
      </w:r>
      <w:r>
        <w:rPr>
          <w:rFonts w:ascii="Times New Roman" w:hAnsi="Times New Roman"/>
          <w:b/>
          <w:bCs/>
          <w:sz w:val="28"/>
          <w:szCs w:val="28"/>
        </w:rPr>
        <w:t xml:space="preserve"> (права)</w:t>
      </w:r>
      <w:r>
        <w:rPr>
          <w:rFonts w:ascii="Times New Roman" w:hAnsi="Times New Roman"/>
          <w:b/>
          <w:sz w:val="28"/>
        </w:rPr>
        <w:t xml:space="preserve"> по сделке"</w:t>
      </w:r>
      <w:r>
        <w:rPr>
          <w:rFonts w:ascii="Times New Roman" w:hAnsi="Times New Roman"/>
          <w:bCs/>
          <w:sz w:val="28"/>
          <w:szCs w:val="28"/>
        </w:rPr>
        <w:t xml:space="preserve">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firstLine="567" w:left="0"/>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firstLine="567" w:left="0"/>
        <w:rPr>
          <w:rStyle w:val="Style12"/>
          <w:rFonts w:ascii="Times New Roman" w:hAnsi="Times New Roman" w:cs="Times New Roman"/>
          <w:b/>
          <w:sz w:val="28"/>
          <w:szCs w:val="28"/>
          <w:shd w:fill="auto" w:val="clear"/>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"Основание отчуждения имущества</w:t>
      </w:r>
      <w:r>
        <w:rPr>
          <w:rStyle w:val="Style12"/>
          <w:rFonts w:cs="Times New Roman" w:ascii="Times New Roman" w:hAnsi="Times New Roman"/>
          <w:b/>
          <w:sz w:val="28"/>
          <w:szCs w:val="28"/>
          <w:shd w:fill="auto" w:val="clear"/>
        </w:rPr>
        <w:t xml:space="preserve"> (права)"</w:t>
      </w:r>
      <w:r>
        <w:rPr>
          <w:rStyle w:val="Style12"/>
          <w:rFonts w:cs="Times New Roman" w:ascii="Times New Roman" w:hAnsi="Times New Roman"/>
          <w:sz w:val="28"/>
          <w:szCs w:val="28"/>
          <w:shd w:fill="auto" w:val="clear"/>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szCs w:val="28"/>
        </w:rPr>
        <w:t xml:space="preserve"> </w:t>
      </w:r>
      <w:r>
        <w:rPr>
          <w:rStyle w:val="Style12"/>
          <w:rFonts w:cs="Times New Roman" w:ascii="Times New Roman" w:hAnsi="Times New Roman"/>
          <w:sz w:val="28"/>
          <w:szCs w:val="28"/>
          <w:shd w:fill="auto" w:val="clear"/>
        </w:rPr>
        <w:t>Для цифровых финансовых активов, цифровых прав и цифровой валюты также указывается дата их отчуждения.</w:t>
      </w:r>
    </w:p>
    <w:p>
      <w:pPr>
        <w:pStyle w:val="ListParagraph"/>
        <w:widowControl w:val="false"/>
        <w:ind w:hanging="0" w:left="567"/>
        <w:rPr>
          <w:rStyle w:val="Style12"/>
          <w:rFonts w:ascii="Times New Roman" w:hAnsi="Times New Roman" w:cs="Times New Roman"/>
          <w:b/>
          <w:sz w:val="28"/>
          <w:szCs w:val="28"/>
          <w:shd w:fill="auto" w:val="clear"/>
        </w:rPr>
      </w:pPr>
      <w:r>
        <w:rPr>
          <w:rFonts w:cs="Times New Roman" w:ascii="Times New Roman" w:hAnsi="Times New Roman"/>
          <w:b/>
          <w:sz w:val="28"/>
          <w:szCs w:val="28"/>
          <w:shd w:fill="auto" w:val="clear"/>
        </w:rPr>
      </w:r>
    </w:p>
    <w:p>
      <w:pPr>
        <w:pStyle w:val="ListParagraph"/>
        <w:ind w:firstLine="709" w:left="0"/>
        <w:jc w:val="center"/>
        <w:rPr>
          <w:rStyle w:val="Style12"/>
          <w:rFonts w:ascii="Times New Roman" w:hAnsi="Times New Roman" w:eastAsia="Times New Roman" w:cs="Times New Roman"/>
          <w:sz w:val="20"/>
          <w:szCs w:val="20"/>
          <w:shd w:fill="auto" w:val="clear"/>
        </w:rPr>
      </w:pPr>
      <w:r>
        <w:rPr>
          <w:rFonts w:eastAsia="Times New Roman" w:cs="Times New Roman" w:ascii="Times New Roman" w:hAnsi="Times New Roman"/>
          <w:sz w:val="20"/>
          <w:szCs w:val="20"/>
          <w:shd w:fill="auto" w:val="clear"/>
        </w:rPr>
      </w:r>
    </w:p>
    <w:sectPr>
      <w:headerReference w:type="default" r:id="rId29"/>
      <w:type w:val="nextPage"/>
      <w:pgSz w:w="11906" w:h="16838"/>
      <w:pgMar w:left="1134" w:right="567" w:gutter="0" w:header="454"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Segoe UI Symbo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eastAsia="Times New Roman"/>
        <w:sz w:val="28"/>
      </w:rPr>
    </w:pPr>
    <w:r>
      <w:rPr>
        <w:rFonts w:eastAsia="Times New Roman" w:ascii="Times New Roman" w:hAnsi="Times New Roman"/>
        <w:sz w:val="28"/>
      </w:rPr>
      <w:fldChar w:fldCharType="begin"/>
    </w:r>
    <w:r>
      <w:rPr>
        <w:sz w:val="28"/>
        <w:rFonts w:eastAsia="Times New Roman" w:ascii="Times New Roman" w:hAnsi="Times New Roman"/>
      </w:rPr>
      <w:instrText xml:space="preserve"> PAGE </w:instrText>
    </w:r>
    <w:r>
      <w:rPr>
        <w:sz w:val="28"/>
        <w:rFonts w:eastAsia="Times New Roman" w:ascii="Times New Roman" w:hAnsi="Times New Roman"/>
      </w:rPr>
      <w:fldChar w:fldCharType="separate"/>
    </w:r>
    <w:r>
      <w:rPr>
        <w:sz w:val="28"/>
        <w:rFonts w:eastAsia="Times New Roman" w:ascii="Times New Roman" w:hAnsi="Times New Roman"/>
      </w:rPr>
      <w:t>68</w:t>
    </w:r>
    <w:r>
      <w:rPr>
        <w:sz w:val="28"/>
        <w:rFonts w:eastAsia="Times New Roman"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2422" w:hanging="720"/>
      </w:pPr>
      <w:rPr>
        <w:sz w:val="28"/>
        <w:b w:val="false"/>
        <w:szCs w:val="28"/>
        <w:color w:val="auto"/>
      </w:rPr>
    </w:lvl>
    <w:lvl w:ilvl="1">
      <w:start w:val="1"/>
      <w:numFmt w:val="decimal"/>
      <w:lvlText w:val="%2)"/>
      <w:lvlJc w:val="left"/>
      <w:pPr>
        <w:tabs>
          <w:tab w:val="num" w:pos="0"/>
        </w:tabs>
        <w:ind w:left="2858" w:hanging="360"/>
      </w:pPr>
      <w:rPr/>
    </w:lvl>
    <w:lvl w:ilvl="2">
      <w:start w:val="1"/>
      <w:numFmt w:val="lowerRoman"/>
      <w:lvlText w:val="%3."/>
      <w:lvlJc w:val="right"/>
      <w:pPr>
        <w:tabs>
          <w:tab w:val="num" w:pos="0"/>
        </w:tabs>
        <w:ind w:left="3578" w:hanging="180"/>
      </w:pPr>
      <w:rPr/>
    </w:lvl>
    <w:lvl w:ilvl="3">
      <w:start w:val="1"/>
      <w:numFmt w:val="decimal"/>
      <w:lvlText w:val="%4."/>
      <w:lvlJc w:val="left"/>
      <w:pPr>
        <w:tabs>
          <w:tab w:val="num" w:pos="0"/>
        </w:tabs>
        <w:ind w:left="4298" w:hanging="360"/>
      </w:pPr>
      <w:rPr/>
    </w:lvl>
    <w:lvl w:ilvl="4">
      <w:start w:val="1"/>
      <w:numFmt w:val="lowerLetter"/>
      <w:lvlText w:val="%5."/>
      <w:lvlJc w:val="left"/>
      <w:pPr>
        <w:tabs>
          <w:tab w:val="num" w:pos="0"/>
        </w:tabs>
        <w:ind w:left="5018" w:hanging="360"/>
      </w:pPr>
      <w:rPr/>
    </w:lvl>
    <w:lvl w:ilvl="5">
      <w:start w:val="1"/>
      <w:numFmt w:val="lowerRoman"/>
      <w:lvlText w:val="%6."/>
      <w:lvlJc w:val="right"/>
      <w:pPr>
        <w:tabs>
          <w:tab w:val="num" w:pos="0"/>
        </w:tabs>
        <w:ind w:left="5738" w:hanging="180"/>
      </w:pPr>
      <w:rPr/>
    </w:lvl>
    <w:lvl w:ilvl="6">
      <w:start w:val="1"/>
      <w:numFmt w:val="decimal"/>
      <w:lvlText w:val="%7."/>
      <w:lvlJc w:val="left"/>
      <w:pPr>
        <w:tabs>
          <w:tab w:val="num" w:pos="0"/>
        </w:tabs>
        <w:ind w:left="6458" w:hanging="360"/>
      </w:pPr>
      <w:rPr/>
    </w:lvl>
    <w:lvl w:ilvl="7">
      <w:start w:val="1"/>
      <w:numFmt w:val="lowerLetter"/>
      <w:lvlText w:val="%8."/>
      <w:lvlJc w:val="left"/>
      <w:pPr>
        <w:tabs>
          <w:tab w:val="num" w:pos="0"/>
        </w:tabs>
        <w:ind w:left="7178" w:hanging="360"/>
      </w:pPr>
      <w:rPr/>
    </w:lvl>
    <w:lvl w:ilvl="8">
      <w:start w:val="1"/>
      <w:numFmt w:val="lowerRoman"/>
      <w:lvlText w:val="%9."/>
      <w:lvlJc w:val="right"/>
      <w:pPr>
        <w:tabs>
          <w:tab w:val="num" w:pos="0"/>
        </w:tabs>
        <w:ind w:left="7898" w:hanging="180"/>
      </w:pPr>
      <w:rPr/>
    </w:lvl>
  </w:abstractNum>
  <w:abstractNum w:abstractNumId="2">
    <w:lvl w:ilvl="0">
      <w:start w:val="1"/>
      <w:numFmt w:val="decimal"/>
      <w:lvlText w:val="%1)"/>
      <w:lvlJc w:val="left"/>
      <w:pPr>
        <w:tabs>
          <w:tab w:val="num" w:pos="0"/>
        </w:tabs>
        <w:ind w:left="1070" w:hanging="360"/>
      </w:pPr>
      <w:rPr>
        <w:sz w:val="28"/>
        <w:b w:val="false"/>
        <w:szCs w:val="28"/>
        <w:rFonts w:ascii="Times New Roman" w:hAnsi="Times New Roman" w:cs="Times New Roman"/>
      </w:rPr>
    </w:lvl>
    <w:lvl w:ilvl="1">
      <w:start w:val="1"/>
      <w:numFmt w:val="lowerLetter"/>
      <w:lvlText w:val="%2."/>
      <w:lvlJc w:val="left"/>
      <w:pPr>
        <w:tabs>
          <w:tab w:val="num" w:pos="0"/>
        </w:tabs>
        <w:ind w:left="2291" w:hanging="360"/>
      </w:pPr>
      <w:rPr/>
    </w:lvl>
    <w:lvl w:ilvl="2">
      <w:start w:val="1"/>
      <w:numFmt w:val="lowerRoman"/>
      <w:lvlText w:val="%3."/>
      <w:lvlJc w:val="right"/>
      <w:pPr>
        <w:tabs>
          <w:tab w:val="num" w:pos="0"/>
        </w:tabs>
        <w:ind w:left="3011" w:hanging="180"/>
      </w:pPr>
      <w:rPr/>
    </w:lvl>
    <w:lvl w:ilvl="3">
      <w:start w:val="1"/>
      <w:numFmt w:val="decimal"/>
      <w:lvlText w:val="%4."/>
      <w:lvlJc w:val="left"/>
      <w:pPr>
        <w:tabs>
          <w:tab w:val="num" w:pos="0"/>
        </w:tabs>
        <w:ind w:left="3731" w:hanging="360"/>
      </w:pPr>
      <w:rPr/>
    </w:lvl>
    <w:lvl w:ilvl="4">
      <w:start w:val="1"/>
      <w:numFmt w:val="lowerLetter"/>
      <w:lvlText w:val="%5."/>
      <w:lvlJc w:val="left"/>
      <w:pPr>
        <w:tabs>
          <w:tab w:val="num" w:pos="0"/>
        </w:tabs>
        <w:ind w:left="4451" w:hanging="360"/>
      </w:pPr>
      <w:rPr/>
    </w:lvl>
    <w:lvl w:ilvl="5">
      <w:start w:val="1"/>
      <w:numFmt w:val="lowerRoman"/>
      <w:lvlText w:val="%6."/>
      <w:lvlJc w:val="right"/>
      <w:pPr>
        <w:tabs>
          <w:tab w:val="num" w:pos="0"/>
        </w:tabs>
        <w:ind w:left="5171" w:hanging="180"/>
      </w:pPr>
      <w:rPr/>
    </w:lvl>
    <w:lvl w:ilvl="6">
      <w:start w:val="1"/>
      <w:numFmt w:val="decimal"/>
      <w:lvlText w:val="%7."/>
      <w:lvlJc w:val="left"/>
      <w:pPr>
        <w:tabs>
          <w:tab w:val="num" w:pos="0"/>
        </w:tabs>
        <w:ind w:left="5891" w:hanging="360"/>
      </w:pPr>
      <w:rPr/>
    </w:lvl>
    <w:lvl w:ilvl="7">
      <w:start w:val="1"/>
      <w:numFmt w:val="lowerLetter"/>
      <w:lvlText w:val="%8."/>
      <w:lvlJc w:val="left"/>
      <w:pPr>
        <w:tabs>
          <w:tab w:val="num" w:pos="0"/>
        </w:tabs>
        <w:ind w:left="6611" w:hanging="360"/>
      </w:pPr>
      <w:rPr/>
    </w:lvl>
    <w:lvl w:ilvl="8">
      <w:start w:val="1"/>
      <w:numFmt w:val="lowerRoman"/>
      <w:lvlText w:val="%9."/>
      <w:lvlJc w:val="right"/>
      <w:pPr>
        <w:tabs>
          <w:tab w:val="num" w:pos="0"/>
        </w:tabs>
        <w:ind w:left="7331" w:hanging="180"/>
      </w:pPr>
      <w:rPr/>
    </w:lvl>
  </w:abstractNum>
  <w:abstractNum w:abstractNumId="3">
    <w:lvl w:ilvl="0">
      <w:start w:val="1"/>
      <w:numFmt w:val="decimal"/>
      <w:lvlText w:val="%1)"/>
      <w:lvlJc w:val="left"/>
      <w:pPr>
        <w:tabs>
          <w:tab w:val="num" w:pos="0"/>
        </w:tabs>
        <w:ind w:left="928" w:hanging="360"/>
      </w:pPr>
      <w:rPr/>
    </w:lvl>
    <w:lvl w:ilvl="1">
      <w:start w:val="1"/>
      <w:numFmt w:val="lowerLetter"/>
      <w:lvlText w:val="%2."/>
      <w:lvlJc w:val="left"/>
      <w:pPr>
        <w:tabs>
          <w:tab w:val="num" w:pos="0"/>
        </w:tabs>
        <w:ind w:left="2265" w:hanging="360"/>
      </w:pPr>
      <w:rPr/>
    </w:lvl>
    <w:lvl w:ilvl="2">
      <w:start w:val="1"/>
      <w:numFmt w:val="lowerRoman"/>
      <w:lvlText w:val="%3."/>
      <w:lvlJc w:val="right"/>
      <w:pPr>
        <w:tabs>
          <w:tab w:val="num" w:pos="0"/>
        </w:tabs>
        <w:ind w:left="2985" w:hanging="180"/>
      </w:pPr>
      <w:rPr/>
    </w:lvl>
    <w:lvl w:ilvl="3">
      <w:start w:val="1"/>
      <w:numFmt w:val="decimal"/>
      <w:lvlText w:val="%4."/>
      <w:lvlJc w:val="left"/>
      <w:pPr>
        <w:tabs>
          <w:tab w:val="num" w:pos="0"/>
        </w:tabs>
        <w:ind w:left="3705" w:hanging="360"/>
      </w:pPr>
      <w:rPr/>
    </w:lvl>
    <w:lvl w:ilvl="4">
      <w:start w:val="1"/>
      <w:numFmt w:val="lowerLetter"/>
      <w:lvlText w:val="%5."/>
      <w:lvlJc w:val="left"/>
      <w:pPr>
        <w:tabs>
          <w:tab w:val="num" w:pos="0"/>
        </w:tabs>
        <w:ind w:left="4425" w:hanging="360"/>
      </w:pPr>
      <w:rPr/>
    </w:lvl>
    <w:lvl w:ilvl="5">
      <w:start w:val="1"/>
      <w:numFmt w:val="lowerRoman"/>
      <w:lvlText w:val="%6."/>
      <w:lvlJc w:val="right"/>
      <w:pPr>
        <w:tabs>
          <w:tab w:val="num" w:pos="0"/>
        </w:tabs>
        <w:ind w:left="5145" w:hanging="180"/>
      </w:pPr>
      <w:rPr/>
    </w:lvl>
    <w:lvl w:ilvl="6">
      <w:start w:val="1"/>
      <w:numFmt w:val="decimal"/>
      <w:lvlText w:val="%7."/>
      <w:lvlJc w:val="left"/>
      <w:pPr>
        <w:tabs>
          <w:tab w:val="num" w:pos="0"/>
        </w:tabs>
        <w:ind w:left="5865" w:hanging="360"/>
      </w:pPr>
      <w:rPr/>
    </w:lvl>
    <w:lvl w:ilvl="7">
      <w:start w:val="1"/>
      <w:numFmt w:val="lowerLetter"/>
      <w:lvlText w:val="%8."/>
      <w:lvlJc w:val="left"/>
      <w:pPr>
        <w:tabs>
          <w:tab w:val="num" w:pos="0"/>
        </w:tabs>
        <w:ind w:left="6585" w:hanging="360"/>
      </w:pPr>
      <w:rPr/>
    </w:lvl>
    <w:lvl w:ilvl="8">
      <w:start w:val="1"/>
      <w:numFmt w:val="lowerRoman"/>
      <w:lvlText w:val="%9."/>
      <w:lvlJc w:val="right"/>
      <w:pPr>
        <w:tabs>
          <w:tab w:val="num" w:pos="0"/>
        </w:tabs>
        <w:ind w:left="7305" w:hanging="180"/>
      </w:pPr>
      <w:rPr/>
    </w:lvl>
  </w:abstractNum>
  <w:abstractNum w:abstractNumId="4">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6">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7">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70"/>
  <w:defaultTabStop w:val="709"/>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ind w:firstLine="709"/>
      <w:jc w:val="both"/>
    </w:pPr>
    <w:rPr>
      <w:rFonts w:ascii="Calibri" w:hAnsi="Calibri" w:eastAsia="Calibri" w:cs="Times New Roman"/>
      <w:color w:val="auto"/>
      <w:kern w:val="0"/>
      <w:sz w:val="22"/>
      <w:szCs w:val="22"/>
      <w:lang w:eastAsia="en-US" w:val="ru-RU" w:bidi="ar-SA"/>
    </w:rPr>
  </w:style>
  <w:style w:type="paragraph" w:styleId="Heading1">
    <w:name w:val="Heading 1"/>
    <w:basedOn w:val="Normal"/>
    <w:next w:val="Normal"/>
    <w:link w:val="1"/>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next w:val="Normal"/>
    <w:link w:val="2"/>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next w:val="Normal"/>
    <w:link w:val="3"/>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next w:val="Normal"/>
    <w:link w:val="4"/>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next w:val="Normal"/>
    <w:link w:val="5"/>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next w:val="Normal"/>
    <w:link w:val="6"/>
    <w:uiPriority w:val="9"/>
    <w:unhideWhenUsed/>
    <w:qFormat/>
    <w:pPr>
      <w:keepNext w:val="true"/>
      <w:keepLines/>
      <w:spacing w:before="320" w:after="200"/>
      <w:outlineLvl w:val="5"/>
    </w:pPr>
    <w:rPr>
      <w:rFonts w:ascii="Arial" w:hAnsi="Arial" w:eastAsia="Arial" w:cs="Arial"/>
      <w:b/>
      <w:bCs/>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cs="Arial"/>
      <w:b/>
      <w:bCs/>
      <w:i/>
      <w:iCs/>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cs="Arial"/>
      <w:i/>
      <w:iCs/>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3" w:customStyle="1">
    <w:name w:val="Заголовок 3 Знак"/>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5" w:customStyle="1">
    <w:name w:val="Заголовок Знак"/>
    <w:basedOn w:val="DefaultParagraphFont"/>
    <w:uiPriority w:val="10"/>
    <w:qFormat/>
    <w:rPr>
      <w:sz w:val="48"/>
      <w:szCs w:val="48"/>
    </w:rPr>
  </w:style>
  <w:style w:type="character" w:styleId="Style6" w:customStyle="1">
    <w:name w:val="Подзаголовок Знак"/>
    <w:basedOn w:val="DefaultParagraphFont"/>
    <w:uiPriority w:val="11"/>
    <w:qFormat/>
    <w:rPr>
      <w:sz w:val="24"/>
      <w:szCs w:val="24"/>
    </w:rPr>
  </w:style>
  <w:style w:type="character" w:styleId="21" w:customStyle="1">
    <w:name w:val="Цитата 2 Знак"/>
    <w:link w:val="Quote"/>
    <w:uiPriority w:val="29"/>
    <w:qFormat/>
    <w:rPr>
      <w:i/>
    </w:rPr>
  </w:style>
  <w:style w:type="character" w:styleId="Style7" w:customStyle="1">
    <w:name w:val="Выделенная цитата Знак"/>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8" w:customStyle="1">
    <w:name w:val="Текст концевой сноски Знак"/>
    <w:uiPriority w:val="99"/>
    <w:qFormat/>
    <w:rPr>
      <w:sz w:val="20"/>
    </w:rPr>
  </w:style>
  <w:style w:type="character" w:styleId="Style9">
    <w:name w:val="Символ концевой сноски"/>
    <w:basedOn w:val="DefaultParagraphFont"/>
    <w:uiPriority w:val="99"/>
    <w:semiHidden/>
    <w:unhideWhenUsed/>
    <w:qFormat/>
    <w:rPr>
      <w:vertAlign w:val="superscript"/>
    </w:rPr>
  </w:style>
  <w:style w:type="character" w:styleId="EndnoteReference">
    <w:name w:val="Endnote Reference"/>
    <w:rPr>
      <w:vertAlign w:val="superscript"/>
    </w:rPr>
  </w:style>
  <w:style w:type="character" w:styleId="Style10" w:customStyle="1">
    <w:name w:val="Верхний колонтитул Знак"/>
    <w:basedOn w:val="DefaultParagraphFont"/>
    <w:uiPriority w:val="99"/>
    <w:qFormat/>
    <w:rPr/>
  </w:style>
  <w:style w:type="character" w:styleId="Style11" w:customStyle="1">
    <w:name w:val="Нижний колонтитул Знак"/>
    <w:basedOn w:val="DefaultParagraphFont"/>
    <w:uiPriority w:val="99"/>
    <w:qFormat/>
    <w:rPr/>
  </w:style>
  <w:style w:type="character" w:styleId="Style12" w:customStyle="1">
    <w:name w:val="Основной текст Знак"/>
    <w:qFormat/>
    <w:rPr>
      <w:rFonts w:ascii="Calibri" w:hAnsi="Calibri" w:cs="Calibri"/>
      <w:shd w:fill="FFFFFF" w:val="clear"/>
    </w:rPr>
  </w:style>
  <w:style w:type="character" w:styleId="11" w:customStyle="1">
    <w:name w:val="Основной текст Знак1"/>
    <w:basedOn w:val="DefaultParagraphFont"/>
    <w:uiPriority w:val="99"/>
    <w:semiHidden/>
    <w:qFormat/>
    <w:rPr/>
  </w:style>
  <w:style w:type="character" w:styleId="Apple-converted-space" w:customStyle="1">
    <w:name w:val="apple-converted-space"/>
    <w:basedOn w:val="DefaultParagraphFont"/>
    <w:qFormat/>
    <w:rPr/>
  </w:style>
  <w:style w:type="character" w:styleId="Style13" w:customStyle="1">
    <w:name w:val="Текст сноски Знак"/>
    <w:uiPriority w:val="99"/>
    <w:qFormat/>
    <w:rPr>
      <w:rFonts w:ascii="Times New Roman" w:hAnsi="Times New Roman" w:eastAsia="Times New Roman" w:cs="Times New Roman"/>
      <w:sz w:val="20"/>
      <w:szCs w:val="20"/>
      <w:lang w:eastAsia="ru-RU"/>
    </w:rPr>
  </w:style>
  <w:style w:type="character" w:styleId="Style14">
    <w:name w:val="Символ сноски"/>
    <w:uiPriority w:val="99"/>
    <w:semiHidden/>
    <w:qFormat/>
    <w:rPr>
      <w:vertAlign w:val="superscript"/>
    </w:rPr>
  </w:style>
  <w:style w:type="character" w:styleId="FootnoteReference">
    <w:name w:val="Footnote Reference"/>
    <w:rPr>
      <w:vertAlign w:val="superscript"/>
    </w:rPr>
  </w:style>
  <w:style w:type="character" w:styleId="FontStyle12" w:customStyle="1">
    <w:name w:val="Font Style12"/>
    <w:qFormat/>
    <w:rPr>
      <w:rFonts w:ascii="Times New Roman" w:hAnsi="Times New Roman" w:cs="Times New Roman"/>
      <w:sz w:val="24"/>
      <w:szCs w:val="24"/>
    </w:rPr>
  </w:style>
  <w:style w:type="character" w:styleId="Style15" w:customStyle="1">
    <w:name w:val="Основной текст_"/>
    <w:link w:val="12"/>
    <w:qFormat/>
    <w:rPr>
      <w:sz w:val="28"/>
      <w:szCs w:val="28"/>
      <w:shd w:fill="FFFFFF" w:val="clear"/>
    </w:rPr>
  </w:style>
  <w:style w:type="character" w:styleId="Style16" w:customStyle="1">
    <w:name w:val="Текст выноски Знак"/>
    <w:link w:val="BalloonText"/>
    <w:uiPriority w:val="99"/>
    <w:semiHidden/>
    <w:qFormat/>
    <w:rPr>
      <w:rFonts w:ascii="Tahoma" w:hAnsi="Tahoma" w:cs="Tahoma"/>
      <w:sz w:val="16"/>
      <w:szCs w:val="16"/>
    </w:rPr>
  </w:style>
  <w:style w:type="character" w:styleId="Annotationreference">
    <w:name w:val="annotation reference"/>
    <w:uiPriority w:val="99"/>
    <w:semiHidden/>
    <w:unhideWhenUsed/>
    <w:qFormat/>
    <w:rPr>
      <w:sz w:val="16"/>
      <w:szCs w:val="16"/>
    </w:rPr>
  </w:style>
  <w:style w:type="character" w:styleId="Style17" w:customStyle="1">
    <w:name w:val="Текст примечания Знак"/>
    <w:link w:val="Annotationtext"/>
    <w:uiPriority w:val="99"/>
    <w:qFormat/>
    <w:rPr>
      <w:sz w:val="20"/>
      <w:szCs w:val="20"/>
    </w:rPr>
  </w:style>
  <w:style w:type="character" w:styleId="Style18" w:customStyle="1">
    <w:name w:val="Тема примечания Знак"/>
    <w:link w:val="Annotationsubject"/>
    <w:uiPriority w:val="99"/>
    <w:semiHidden/>
    <w:qFormat/>
    <w:rPr>
      <w:b/>
      <w:bCs/>
      <w:sz w:val="20"/>
      <w:szCs w:val="20"/>
    </w:rPr>
  </w:style>
  <w:style w:type="character" w:styleId="111" w:customStyle="1">
    <w:name w:val="Основной текст Знак11"/>
    <w:uiPriority w:val="99"/>
    <w:semiHidden/>
    <w:qFormat/>
    <w:rPr>
      <w:rFonts w:cs="Times New Roman"/>
    </w:rPr>
  </w:style>
  <w:style w:type="character" w:styleId="Hyperlink">
    <w:name w:val="Hyperlink"/>
    <w:basedOn w:val="DefaultParagraphFont"/>
    <w:uiPriority w:val="99"/>
    <w:unhideWhenUsed/>
    <w:rPr>
      <w:color w:themeColor="hyperlink" w:val="0563C1"/>
      <w:u w:val="single"/>
    </w:rPr>
  </w:style>
  <w:style w:type="character" w:styleId="FontStyle33" w:customStyle="1">
    <w:name w:val="Font Style33"/>
    <w:basedOn w:val="DefaultParagraphFont"/>
    <w:uiPriority w:val="99"/>
    <w:qFormat/>
    <w:rPr>
      <w:rFonts w:ascii="Times New Roman" w:hAnsi="Times New Roman" w:cs="Times New Roman"/>
      <w:sz w:val="28"/>
      <w:szCs w:val="28"/>
    </w:rPr>
  </w:style>
  <w:style w:type="paragraph" w:styleId="Style19">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link w:val="Style12"/>
    <w:pPr>
      <w:widowControl w:val="false"/>
      <w:shd w:val="clear" w:color="auto" w:fill="FFFFFF"/>
      <w:spacing w:lineRule="exact" w:line="298" w:before="0" w:after="780"/>
      <w:ind w:hanging="1600"/>
    </w:pPr>
    <w:rPr>
      <w:rFonts w:cs="Calibri"/>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1"/>
    <w:qFormat/>
    <w:pPr>
      <w:widowControl/>
      <w:bidi w:val="0"/>
      <w:spacing w:before="0" w:after="0"/>
      <w:jc w:val="left"/>
    </w:pPr>
    <w:rPr>
      <w:rFonts w:ascii="Calibri" w:hAnsi="Calibri" w:eastAsia="Calibri" w:cs="Times New Roman"/>
      <w:color w:val="auto"/>
      <w:kern w:val="0"/>
      <w:sz w:val="20"/>
      <w:szCs w:val="20"/>
      <w:lang w:val="ru-RU" w:eastAsia="ru-RU" w:bidi="ar-SA"/>
    </w:rPr>
  </w:style>
  <w:style w:type="paragraph" w:styleId="Title">
    <w:name w:val="Title"/>
    <w:basedOn w:val="Normal"/>
    <w:next w:val="Normal"/>
    <w:link w:val="Style5"/>
    <w:uiPriority w:val="10"/>
    <w:qFormat/>
    <w:pPr>
      <w:spacing w:before="300" w:after="200"/>
      <w:contextualSpacing/>
    </w:pPr>
    <w:rPr>
      <w:sz w:val="48"/>
      <w:szCs w:val="48"/>
    </w:rPr>
  </w:style>
  <w:style w:type="paragraph" w:styleId="Subtitle">
    <w:name w:val="Subtitle"/>
    <w:basedOn w:val="Normal"/>
    <w:next w:val="Normal"/>
    <w:link w:val="Style6"/>
    <w:uiPriority w:val="11"/>
    <w:qFormat/>
    <w:pPr>
      <w:spacing w:before="200" w:after="200"/>
    </w:pPr>
    <w:rPr>
      <w:sz w:val="24"/>
      <w:szCs w:val="24"/>
    </w:rPr>
  </w:style>
  <w:style w:type="paragraph" w:styleId="Quote">
    <w:name w:val="Quote"/>
    <w:basedOn w:val="Normal"/>
    <w:next w:val="Normal"/>
    <w:link w:val="21"/>
    <w:uiPriority w:val="29"/>
    <w:qFormat/>
    <w:pPr>
      <w:ind w:left="720" w:right="720"/>
    </w:pPr>
    <w:rPr>
      <w:i/>
    </w:rPr>
  </w:style>
  <w:style w:type="paragraph" w:styleId="IntenseQuote">
    <w:name w:val="Intense Quote"/>
    <w:basedOn w:val="Normal"/>
    <w:next w:val="Normal"/>
    <w:link w:val="Style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Caption1">
    <w:name w:val="caption1"/>
    <w:basedOn w:val="Normal"/>
    <w:next w:val="Normal"/>
    <w:uiPriority w:val="35"/>
    <w:semiHidden/>
    <w:unhideWhenUsed/>
    <w:qFormat/>
    <w:pPr>
      <w:spacing w:lineRule="auto" w:line="276"/>
    </w:pPr>
    <w:rPr>
      <w:b/>
      <w:bCs/>
      <w:color w:themeColor="accent1" w:val="5B9BD5"/>
      <w:sz w:val="18"/>
      <w:szCs w:val="18"/>
    </w:rPr>
  </w:style>
  <w:style w:type="paragraph" w:styleId="EndnoteText">
    <w:name w:val="Endnote Text"/>
    <w:basedOn w:val="Normal"/>
    <w:link w:val="Style8"/>
    <w:uiPriority w:val="99"/>
    <w:semiHidden/>
    <w:unhideWhenUsed/>
    <w:pPr/>
    <w:rPr>
      <w:sz w:val="20"/>
    </w:rPr>
  </w:style>
  <w:style w:type="paragraph" w:styleId="TOC1">
    <w:name w:val="TOC 1"/>
    <w:basedOn w:val="Normal"/>
    <w:next w:val="Normal"/>
    <w:uiPriority w:val="39"/>
    <w:unhideWhenUsed/>
    <w:pPr>
      <w:spacing w:before="0" w:after="57"/>
      <w:ind w:hanging="0"/>
    </w:pPr>
    <w:rPr/>
  </w:style>
  <w:style w:type="paragraph" w:styleId="TOC2">
    <w:name w:val="TOC 2"/>
    <w:basedOn w:val="Normal"/>
    <w:next w:val="Normal"/>
    <w:uiPriority w:val="39"/>
    <w:unhideWhenUsed/>
    <w:pPr>
      <w:spacing w:before="0" w:after="57"/>
      <w:ind w:hanging="0" w:left="283"/>
    </w:pPr>
    <w:rPr/>
  </w:style>
  <w:style w:type="paragraph" w:styleId="TOC3">
    <w:name w:val="TOC 3"/>
    <w:basedOn w:val="Normal"/>
    <w:next w:val="Normal"/>
    <w:uiPriority w:val="39"/>
    <w:unhideWhenUsed/>
    <w:pPr>
      <w:spacing w:before="0" w:after="57"/>
      <w:ind w:hanging="0" w:left="567"/>
    </w:pPr>
    <w:rPr/>
  </w:style>
  <w:style w:type="paragraph" w:styleId="TOC4">
    <w:name w:val="TOC 4"/>
    <w:basedOn w:val="Normal"/>
    <w:next w:val="Normal"/>
    <w:uiPriority w:val="39"/>
    <w:unhideWhenUsed/>
    <w:pPr>
      <w:spacing w:before="0" w:after="57"/>
      <w:ind w:hanging="0" w:left="850"/>
    </w:pPr>
    <w:rPr/>
  </w:style>
  <w:style w:type="paragraph" w:styleId="TOC5">
    <w:name w:val="TOC 5"/>
    <w:basedOn w:val="Normal"/>
    <w:next w:val="Normal"/>
    <w:uiPriority w:val="39"/>
    <w:unhideWhenUsed/>
    <w:pPr>
      <w:spacing w:before="0" w:after="57"/>
      <w:ind w:hanging="0" w:left="1134"/>
    </w:pPr>
    <w:rPr/>
  </w:style>
  <w:style w:type="paragraph" w:styleId="TOC6">
    <w:name w:val="TOC 6"/>
    <w:basedOn w:val="Normal"/>
    <w:next w:val="Normal"/>
    <w:uiPriority w:val="39"/>
    <w:unhideWhenUsed/>
    <w:pPr>
      <w:spacing w:before="0" w:after="57"/>
      <w:ind w:hanging="0" w:left="1417"/>
    </w:pPr>
    <w:rPr/>
  </w:style>
  <w:style w:type="paragraph" w:styleId="TOC7">
    <w:name w:val="TOC 7"/>
    <w:basedOn w:val="Normal"/>
    <w:next w:val="Normal"/>
    <w:uiPriority w:val="39"/>
    <w:unhideWhenUsed/>
    <w:pPr>
      <w:spacing w:before="0" w:after="57"/>
      <w:ind w:hanging="0" w:left="1701"/>
    </w:pPr>
    <w:rPr/>
  </w:style>
  <w:style w:type="paragraph" w:styleId="TOC8">
    <w:name w:val="TOC 8"/>
    <w:basedOn w:val="Normal"/>
    <w:next w:val="Normal"/>
    <w:uiPriority w:val="39"/>
    <w:unhideWhenUsed/>
    <w:pPr>
      <w:spacing w:before="0" w:after="57"/>
      <w:ind w:hanging="0" w:left="1984"/>
    </w:pPr>
    <w:rPr/>
  </w:style>
  <w:style w:type="paragraph" w:styleId="TOC9">
    <w:name w:val="TOC 9"/>
    <w:basedOn w:val="Normal"/>
    <w:next w:val="Normal"/>
    <w:uiPriority w:val="39"/>
    <w:unhideWhenUsed/>
    <w:pPr>
      <w:spacing w:before="0" w:after="57"/>
      <w:ind w:hanging="0" w:left="2268"/>
    </w:pPr>
    <w:rPr/>
  </w:style>
  <w:style w:type="paragraph" w:styleId="IndexHeading">
    <w:name w:val="Index Heading"/>
    <w:basedOn w:val="Style19"/>
    <w:pPr/>
    <w:rPr/>
  </w:style>
  <w:style w:type="paragraph" w:styleId="TOCHeading">
    <w:name w:val="TOC Heading"/>
    <w:uiPriority w:val="39"/>
    <w:unhideWhenUsed/>
    <w:qFormat/>
    <w:pPr>
      <w:widowControl/>
      <w:bidi w:val="0"/>
      <w:spacing w:before="0" w:after="0"/>
      <w:jc w:val="left"/>
    </w:pPr>
    <w:rPr>
      <w:rFonts w:ascii="Calibri" w:hAnsi="Calibri" w:eastAsia="Calibri" w:cs="Times New Roman"/>
      <w:color w:val="auto"/>
      <w:kern w:val="0"/>
      <w:sz w:val="20"/>
      <w:szCs w:val="20"/>
      <w:lang w:val="ru-RU" w:eastAsia="ru-RU" w:bidi="ar-SA"/>
    </w:rPr>
  </w:style>
  <w:style w:type="paragraph" w:styleId="TableofFigures">
    <w:name w:val="Table of Figures"/>
    <w:basedOn w:val="Normal"/>
    <w:next w:val="Normal"/>
    <w:uiPriority w:val="99"/>
    <w:unhideWhenUsed/>
    <w:pPr/>
    <w:rPr/>
  </w:style>
  <w:style w:type="paragraph" w:styleId="Style21">
    <w:name w:val="Колонтитул"/>
    <w:basedOn w:val="Normal"/>
    <w:qFormat/>
    <w:pPr/>
    <w:rPr/>
  </w:style>
  <w:style w:type="paragraph" w:styleId="Header">
    <w:name w:val="Header"/>
    <w:basedOn w:val="Normal"/>
    <w:link w:val="Style10"/>
    <w:uiPriority w:val="99"/>
    <w:unhideWhenUsed/>
    <w:pPr>
      <w:tabs>
        <w:tab w:val="clear" w:pos="709"/>
        <w:tab w:val="center" w:pos="4677" w:leader="none"/>
        <w:tab w:val="right" w:pos="9355" w:leader="none"/>
      </w:tabs>
    </w:pPr>
    <w:rPr/>
  </w:style>
  <w:style w:type="paragraph" w:styleId="Footer">
    <w:name w:val="Footer"/>
    <w:basedOn w:val="Normal"/>
    <w:link w:val="Style11"/>
    <w:uiPriority w:val="99"/>
    <w:unhideWhenUsed/>
    <w:pPr>
      <w:tabs>
        <w:tab w:val="clear" w:pos="709"/>
        <w:tab w:val="center" w:pos="4677" w:leader="none"/>
        <w:tab w:val="right" w:pos="9355" w:leader="none"/>
      </w:tabs>
    </w:pPr>
    <w:rPr/>
  </w:style>
  <w:style w:type="paragraph" w:styleId="ConsPlusNonformat" w:customStyle="1">
    <w:name w:val="ConsPlusNonformat"/>
    <w:uiPriority w:val="99"/>
    <w:qFormat/>
    <w:pPr>
      <w:widowControl/>
      <w:bidi w:val="0"/>
      <w:spacing w:before="0" w:after="0"/>
      <w:ind w:firstLine="709"/>
      <w:jc w:val="both"/>
    </w:pPr>
    <w:rPr>
      <w:rFonts w:ascii="Courier New" w:hAnsi="Courier New" w:cs="Courier New" w:eastAsia="Calibri"/>
      <w:color w:val="auto"/>
      <w:kern w:val="0"/>
      <w:sz w:val="20"/>
      <w:szCs w:val="20"/>
      <w:lang w:eastAsia="en-US" w:val="ru-RU" w:bidi="ar-SA"/>
    </w:rPr>
  </w:style>
  <w:style w:type="paragraph" w:styleId="ListParagraph">
    <w:name w:val="List Paragraph"/>
    <w:basedOn w:val="Normal"/>
    <w:uiPriority w:val="34"/>
    <w:qFormat/>
    <w:pPr>
      <w:spacing w:before="0" w:after="0"/>
      <w:ind w:left="720"/>
      <w:contextualSpacing/>
    </w:pPr>
    <w:rPr/>
  </w:style>
  <w:style w:type="paragraph" w:styleId="Default" w:customStyle="1">
    <w:name w:val="Default"/>
    <w:qFormat/>
    <w:pPr>
      <w:widowControl/>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pPr>
      <w:spacing w:before="240" w:after="240"/>
    </w:pPr>
    <w:rPr>
      <w:rFonts w:ascii="Times New Roman" w:hAnsi="Times New Roman" w:eastAsia="Times New Roman"/>
      <w:sz w:val="24"/>
      <w:szCs w:val="24"/>
      <w:lang w:eastAsia="ru-RU"/>
    </w:rPr>
  </w:style>
  <w:style w:type="paragraph" w:styleId="FootnoteText">
    <w:name w:val="Footnote Text"/>
    <w:basedOn w:val="Normal"/>
    <w:link w:val="Style13"/>
    <w:uiPriority w:val="99"/>
    <w:pPr/>
    <w:rPr>
      <w:rFonts w:ascii="Times New Roman" w:hAnsi="Times New Roman" w:eastAsia="Times New Roman"/>
      <w:sz w:val="20"/>
      <w:szCs w:val="20"/>
      <w:lang w:eastAsia="ru-RU"/>
    </w:rPr>
  </w:style>
  <w:style w:type="paragraph" w:styleId="12" w:customStyle="1">
    <w:name w:val="Основной текст1"/>
    <w:basedOn w:val="Normal"/>
    <w:link w:val="Style15"/>
    <w:qFormat/>
    <w:pPr>
      <w:shd w:val="clear" w:color="auto" w:fill="FFFFFF"/>
      <w:spacing w:lineRule="atLeast" w:line="0" w:before="0" w:after="420"/>
      <w:ind w:hanging="420"/>
      <w:jc w:val="center"/>
    </w:pPr>
    <w:rPr>
      <w:sz w:val="28"/>
      <w:szCs w:val="28"/>
    </w:rPr>
  </w:style>
  <w:style w:type="paragraph" w:styleId="BalloonText">
    <w:name w:val="Balloon Text"/>
    <w:basedOn w:val="Normal"/>
    <w:link w:val="Style16"/>
    <w:uiPriority w:val="99"/>
    <w:semiHidden/>
    <w:unhideWhenUsed/>
    <w:qFormat/>
    <w:pPr/>
    <w:rPr>
      <w:rFonts w:ascii="Tahoma" w:hAnsi="Tahoma" w:cs="Tahoma"/>
      <w:sz w:val="16"/>
      <w:szCs w:val="16"/>
    </w:rPr>
  </w:style>
  <w:style w:type="paragraph" w:styleId="Annotationtext">
    <w:name w:val="annotation text"/>
    <w:basedOn w:val="Normal"/>
    <w:link w:val="Style17"/>
    <w:uiPriority w:val="99"/>
    <w:unhideWhenUsed/>
    <w:qFormat/>
    <w:pPr/>
    <w:rPr>
      <w:sz w:val="20"/>
      <w:szCs w:val="20"/>
    </w:rPr>
  </w:style>
  <w:style w:type="paragraph" w:styleId="Annotationsubject">
    <w:name w:val="annotation subject"/>
    <w:basedOn w:val="Annotationtext"/>
    <w:next w:val="Annotationtext"/>
    <w:link w:val="Style18"/>
    <w:uiPriority w:val="99"/>
    <w:semiHidden/>
    <w:unhideWhenUsed/>
    <w:qFormat/>
    <w:pPr/>
    <w:rPr>
      <w:b/>
      <w:bCs/>
    </w:rPr>
  </w:style>
  <w:style w:type="paragraph" w:styleId="ConsPlusNormal" w:customStyle="1">
    <w:name w:val="ConsPlusNormal"/>
    <w:qFormat/>
    <w:pPr>
      <w:widowControl/>
      <w:bidi w:val="0"/>
      <w:spacing w:before="0" w:after="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customStyle="1" w:styleId="11">
    <w:name w:val="Таблица простая 1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210">
    <w:name w:val="Таблица простая 21"/>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
    <w:name w:val="Таблица простая 31"/>
    <w:basedOn w:val="a1"/>
    <w:uiPriority w:val="99"/>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customStyle="1" w:styleId="41">
    <w:name w:val="Таблица простая 41"/>
    <w:basedOn w:val="a1"/>
    <w:uiPriority w:val="99"/>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customStyle="1" w:styleId="51">
    <w:name w:val="Таблица простая 51"/>
    <w:basedOn w:val="a1"/>
    <w:uiPriority w:val="99"/>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customStyle="1" w:styleId="-11">
    <w:name w:val="Таблица-сетка 1 светлая1"/>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6A6A6A"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rPr>
      <w:tblPr/>
      <w:tcPr>
        <w:tcBorders>
          <w:bottom w:val="single" w:color="9EC4E6"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F4B286"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CACACA"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DA6A"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rPr>
      <w:tblPr/>
      <w:tcPr>
        <w:tcBorders>
          <w:bottom w:val="single" w:color="91ACDC"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AAD190"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customStyle="1" w:styleId="-21">
    <w:name w:val="Таблица-сетка 2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1" w:themeFillTint="34"/>
      </w:tcPr>
    </w:tblStylePr>
    <w:tblStylePr w:type="band1Horz">
      <w:rPr>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1" w:themeFillTint="34"/>
      </w:tcPr>
    </w:tblStylePr>
    <w:tblStylePr w:type="band1Horz">
      <w:rPr>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rPr>
      <w:tblPr/>
      <w:tcPr>
        <w:tcBorders>
          <w:top w:val="single" w:color="68A2D8" w:themeColor="accent1" w:sz="4" w:space="0"/>
        </w:tcBorders>
      </w:tcPr>
    </w:tblStylePr>
    <w:tblStylePr w:type="firstCol">
      <w:rPr>
        <w:b/>
      </w:rPr>
      <w:tblPr/>
    </w:tblStylePr>
    <w:tblStylePr w:type="lastCol">
      <w:rPr>
        <w:b/>
      </w:rPr>
      <w:tblPr/>
    </w:tblStylePr>
    <w:tblStylePr w:type="band1Vert">
      <w:rPr>
        <w:sz w:val="22"/>
      </w:rPr>
      <w:tblPr/>
      <w:tcPr>
        <w:shd w:val="clear" w:color="DEEBF6" w:fill="DEEBF6" w:themeFill="accent1" w:themeFillTint="32"/>
      </w:tcPr>
    </w:tblStylePr>
    <w:tblStylePr w:type="band1Horz">
      <w:rPr>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rPr>
      <w:tblPr/>
      <w:tcPr>
        <w:tcBorders>
          <w:top w:val="single" w:color="F4B184"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rPr>
      <w:tblPr/>
      <w:tcPr>
        <w:tcBorders>
          <w:top w:val="single" w:color="FFD865"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rPr>
      <w:tblPr/>
      <w:tcPr>
        <w:tcBorders>
          <w:top w:val="single" w:color="4472C4" w:themeColor="accent5" w:sz="4" w:space="0"/>
        </w:tcBorders>
      </w:tcPr>
    </w:tblStylePr>
    <w:tblStylePr w:type="firstCol">
      <w:rPr>
        <w:b/>
      </w:rPr>
      <w:tblPr/>
    </w:tblStylePr>
    <w:tblStylePr w:type="lastCol">
      <w:rPr>
        <w:b/>
      </w:rPr>
      <w:tbl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1"/>
      </w:tcPr>
    </w:tblStylePr>
    <w:tblStylePr w:type="lastRow">
      <w:rPr>
        <w:b/>
        <w:sz w:val="22"/>
      </w:rPr>
      <w:tblPr/>
      <w:tcPr>
        <w:tcBorders>
          <w:top w:val="single" w:color="FFFFFF" w:themeColor="light1" w:sz="4" w:space="0"/>
        </w:tcBorders>
        <w:shd w:val="clear" w:color="5B9BD5" w:fill="5B9BD5" w:themeFill="accent1"/>
      </w:tcPr>
    </w:tblStylePr>
    <w:tblStylePr w:type="firstCol">
      <w:rPr>
        <w:b/>
        <w:sz w:val="22"/>
      </w:rPr>
      <w:tblPr/>
      <w:tcPr>
        <w:shd w:val="clear" w:color="5B9BD5" w:fill="5B9BD5" w:themeFill="accent1"/>
      </w:tcPr>
    </w:tblStylePr>
    <w:tblStylePr w:type="lastCol">
      <w:rPr>
        <w:b/>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5"/>
      </w:tcPr>
    </w:tblStylePr>
    <w:tblStylePr w:type="lastRow">
      <w:rPr>
        <w:b/>
        <w:sz w:val="22"/>
      </w:rPr>
      <w:tblPr/>
      <w:tcPr>
        <w:tcBorders>
          <w:top w:val="single" w:color="FFFFFF" w:themeColor="light1" w:sz="4" w:space="0"/>
        </w:tcBorders>
        <w:shd w:val="clear" w:color="4472C4" w:fill="4472C4" w:themeFill="accent5"/>
      </w:tcPr>
    </w:tblStylePr>
    <w:tblStylePr w:type="firstCol">
      <w:rPr>
        <w:b/>
        <w:sz w:val="22"/>
      </w:rPr>
      <w:tblPr/>
      <w:tcPr>
        <w:shd w:val="clear" w:color="4472C4" w:fill="4472C4" w:themeFill="accent5"/>
      </w:tcPr>
    </w:tblStylePr>
    <w:tblStylePr w:type="lastCol">
      <w:rPr>
        <w:b/>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7F7F7F"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themeColor="accent1" w:themeTint="80" w:themeShade="95"/>
      </w:rPr>
      <w:tblPr/>
      <w:tcPr>
        <w:tcBorders>
          <w:bottom w:val="single" w:color="ACCCEA"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DEAF6" w:fill="DDEAF6" w:themeFill="accent1" w:themeFillTint="34"/>
      </w:tcPr>
    </w:tblStylePr>
    <w:tblStylePr w:type="band1Horz">
      <w:rPr>
        <w:color w:themeColor="accent1" w:themeTint="80" w:themeShade="95"/>
        <w:sz w:val="22"/>
      </w:rPr>
      <w:tblPr/>
      <w:tcPr>
        <w:shd w:val="clear" w:color="DDEAF6" w:fill="DDEAF6"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F4B184"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D865"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themeColor="accent5" w:themeShade="95"/>
      </w:rPr>
      <w:tblPr/>
      <w:tcPr>
        <w:tcBorders>
          <w:bottom w:val="single" w:color="4472C4"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8E2F3" w:fill="D8E2F3" w:themeFill="accent5" w:themeFillTint="34"/>
      </w:tcPr>
    </w:tblStylePr>
    <w:tblStylePr w:type="band1Horz">
      <w:rPr>
        <w:color w:themeColor="accent5" w:themeShade="95"/>
        <w:sz w:val="22"/>
      </w:rPr>
      <w:tblPr/>
      <w:tcPr>
        <w:shd w:val="clear" w:color="D8E2F3" w:fill="D8E2F3"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customStyle="1" w:styleId="-71">
    <w:name w:val="Таблица-сетка 7 цветная1"/>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themeColor="accent1" w:themeTint="80" w:themeShade="95"/>
        <w:sz w:val="22"/>
      </w:rPr>
      <w:tblPr/>
      <w:tcPr>
        <w:tcBorders>
          <w:top w:val="none" w:color="auto" w:sz="0" w:space="0"/>
          <w:left w:val="none" w:color="auto" w:sz="0" w:space="0"/>
          <w:bottom w:val="single" w:color="ACCCEA" w:themeColor="accent1" w:sz="4" w:space="0"/>
          <w:right w:val="none" w:color="auto" w:sz="0" w:space="0"/>
        </w:tcBorders>
        <w:shd w:val="clear" w:color="FFFFFF" w:fill="FFFFFF" w:themeFill="light1"/>
      </w:tcPr>
    </w:tblStylePr>
    <w:tblStylePr w:type="lastRow">
      <w:rPr>
        <w:b/>
        <w:color w:themeColor="accent1" w:themeTint="80" w:themeShade="95"/>
        <w:sz w:val="22"/>
      </w:rPr>
      <w:tblPr/>
      <w:tcPr>
        <w:tcBorders>
          <w:top w:val="single" w:color="ACCCEA"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Tint="80" w:themeShade="95"/>
        <w:sz w:val="22"/>
      </w:rPr>
      <w:tblPr/>
      <w:tcPr>
        <w:tcBorders>
          <w:top w:val="none" w:color="auto" w:sz="0" w:space="0"/>
          <w:left w:val="none" w:color="auto" w:sz="0" w:space="0"/>
          <w:bottom w:val="none" w:color="auto" w:sz="0" w:space="0"/>
          <w:right w:val="single" w:color="ACCCEA" w:themeColor="accent1" w:sz="4" w:space="0"/>
        </w:tcBorders>
        <w:shd w:val="clear" w:color="FFFFFF" w:fill="auto"/>
      </w:tcPr>
    </w:tblStylePr>
    <w:tblStylePr w:type="lastCol">
      <w:rPr>
        <w:i/>
        <w:color w:themeColor="accent1" w:themeTint="80" w:themeShade="95"/>
        <w:sz w:val="22"/>
      </w:rPr>
      <w:tblPr/>
      <w:tcPr>
        <w:tcBorders>
          <w:top w:val="none" w:color="auto" w:sz="0" w:space="0"/>
          <w:left w:val="single" w:color="ACCCEA" w:themeColor="accent1" w:sz="4" w:space="0"/>
          <w:bottom w:val="none" w:color="auto" w:sz="0" w:space="0"/>
          <w:right w:val="none" w:color="auto" w:sz="0" w:space="0"/>
        </w:tcBorders>
        <w:shd w:val="clear" w:color="FFFFFF" w:fill="auto"/>
      </w:tcPr>
    </w:tblStylePr>
    <w:tblStylePr w:type="band1Vert">
      <w:tblPr/>
      <w:tcPr>
        <w:shd w:val="clear" w:color="DDEAF6" w:fill="DDEAF6" w:themeFill="accent1" w:themeFillTint="34"/>
      </w:tcPr>
    </w:tblStylePr>
    <w:tblStylePr w:type="band1Horz">
      <w:rPr>
        <w:color w:themeColor="accent1" w:themeTint="80" w:themeShade="95"/>
        <w:sz w:val="22"/>
      </w:rPr>
      <w:tblPr/>
      <w:tcPr>
        <w:shd w:val="clear" w:color="DDEAF6" w:fill="DDEAF6"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themeColor="accent5" w:themeShade="95"/>
        <w:sz w:val="22"/>
      </w:rPr>
      <w:tblPr/>
      <w:tcPr>
        <w:tcBorders>
          <w:top w:val="none" w:color="auto" w:sz="0" w:space="0"/>
          <w:left w:val="none" w:color="auto" w:sz="0" w:space="0"/>
          <w:bottom w:val="single" w:color="95AFDD" w:themeColor="accent5" w:sz="4" w:space="0"/>
          <w:right w:val="none" w:color="auto" w:sz="0" w:space="0"/>
        </w:tcBorders>
        <w:shd w:val="clear" w:color="FFFFFF" w:fill="FFFFFF" w:themeFill="light1"/>
      </w:tcPr>
    </w:tblStylePr>
    <w:tblStylePr w:type="lastRow">
      <w:rPr>
        <w:b/>
        <w:color w:themeColor="accent5" w:themeShade="95"/>
        <w:sz w:val="22"/>
      </w:rPr>
      <w:tblPr/>
      <w:tcPr>
        <w:tcBorders>
          <w:top w:val="single" w:color="95AFDD"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Shade="95"/>
        <w:sz w:val="22"/>
      </w:rPr>
      <w:tblPr/>
      <w:tcPr>
        <w:tcBorders>
          <w:top w:val="none" w:color="auto" w:sz="0" w:space="0"/>
          <w:left w:val="none" w:color="auto" w:sz="0" w:space="0"/>
          <w:bottom w:val="none" w:color="auto" w:sz="0" w:space="0"/>
          <w:right w:val="single" w:color="95AFDD" w:themeColor="accent5" w:sz="4" w:space="0"/>
        </w:tcBorders>
        <w:shd w:val="clear" w:color="FFFFFF" w:fill="auto"/>
      </w:tcPr>
    </w:tblStylePr>
    <w:tblStylePr w:type="lastCol">
      <w:rPr>
        <w:i/>
        <w:color w:themeColor="accent5" w:themeShade="95"/>
        <w:sz w:val="22"/>
      </w:rPr>
      <w:tblPr/>
      <w:tcPr>
        <w:tcBorders>
          <w:top w:val="none" w:color="auto" w:sz="0" w:space="0"/>
          <w:left w:val="single" w:color="95AFDD" w:themeColor="accent5" w:sz="4" w:space="0"/>
          <w:bottom w:val="none" w:color="auto" w:sz="0" w:space="0"/>
          <w:right w:val="none" w:color="auto" w:sz="0" w:space="0"/>
        </w:tcBorders>
        <w:shd w:val="clear" w:color="FFFFFF" w:fill="auto"/>
      </w:tcPr>
    </w:tblStylePr>
    <w:tblStylePr w:type="band1Vert">
      <w:tblPr/>
      <w:tcPr>
        <w:shd w:val="clear" w:color="D8E2F3" w:fill="D8E2F3" w:themeFill="accent5" w:themeFillTint="34"/>
      </w:tcPr>
    </w:tblStylePr>
    <w:tblStylePr w:type="band1Horz">
      <w:rPr>
        <w:color w:themeColor="accent5" w:themeShade="95"/>
        <w:sz w:val="22"/>
      </w:rPr>
      <w:tblPr/>
      <w:tcPr>
        <w:shd w:val="clear" w:color="D8E2F3" w:fill="D8E2F3"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customStyle="1" w:styleId="-110">
    <w:name w:val="Список-таблица 1 светлая1"/>
    <w:basedOn w:val="a1"/>
    <w:uiPriority w:val="99"/>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1" w:themeFillTint="40"/>
      </w:tcPr>
    </w:tblStylePr>
    <w:tblStylePr w:type="band1Horz">
      <w:rPr>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5" w:themeFillTint="40"/>
      </w:tcPr>
    </w:tblStylePr>
    <w:tblStylePr w:type="band1Horz">
      <w:rPr>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sz w:val="22"/>
      </w:rPr>
      <w:tblPr/>
      <w:tcPr>
        <w:shd w:val="clear" w:color="5B9BD5" w:fill="5B9BD5"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1" w:sz="4" w:space="0"/>
          <w:right w:val="single" w:color="5B9BD5" w:themeColor="accent1" w:sz="4" w:space="0"/>
        </w:tcBorders>
      </w:tcPr>
    </w:tblStylePr>
    <w:tblStylePr w:type="band1Horz">
      <w:rPr>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4B184" w:themeColor="accent2" w:sz="4" w:space="0"/>
          <w:right w:val="single" w:color="F4B184" w:themeColor="accent2" w:sz="4" w:space="0"/>
        </w:tcBorders>
      </w:tcPr>
    </w:tblStylePr>
    <w:tblStylePr w:type="band1Horz">
      <w:rPr>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C9C9C9" w:themeColor="accent3" w:sz="4" w:space="0"/>
          <w:right w:val="single" w:color="C9C9C9" w:themeColor="accent3" w:sz="4" w:space="0"/>
        </w:tcBorders>
      </w:tcPr>
    </w:tblStylePr>
    <w:tblStylePr w:type="band1Horz">
      <w:rPr>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D865" w:themeColor="accent4" w:sz="4" w:space="0"/>
          <w:right w:val="single" w:color="FFD865" w:themeColor="accent4" w:sz="4" w:space="0"/>
        </w:tcBorders>
      </w:tcPr>
    </w:tblStylePr>
    <w:tblStylePr w:type="band1Horz">
      <w:rPr>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sz w:val="22"/>
      </w:rPr>
      <w:tblPr/>
      <w:tcPr>
        <w:shd w:val="clear" w:color="8DA9DB" w:fill="8DA9DB"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8DA9DB" w:themeColor="accent5" w:sz="4" w:space="0"/>
          <w:right w:val="single" w:color="8DA9DB" w:themeColor="accent5" w:sz="4" w:space="0"/>
        </w:tcBorders>
      </w:tcPr>
    </w:tblStylePr>
    <w:tblStylePr w:type="band1Horz">
      <w:rPr>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9D08E" w:themeColor="accent6" w:sz="4" w:space="0"/>
          <w:right w:val="single" w:color="A9D08E" w:themeColor="accent6" w:sz="4" w:space="0"/>
        </w:tcBorders>
      </w:tcPr>
    </w:tblStylePr>
    <w:tblStylePr w:type="band1Horz">
      <w:rPr>
        <w:sz w:val="22"/>
      </w:rPr>
      <w:tblPr/>
      <w:tcPr>
        <w:tcBorders>
          <w:top w:val="single" w:color="A9D08E" w:themeColor="accent6" w:sz="4" w:space="0"/>
          <w:bottom w:val="single" w:color="A9D08E" w:themeColor="accent6" w:sz="4" w:space="0"/>
        </w:tcBorders>
      </w:tcPr>
    </w:tblStylePr>
  </w:style>
  <w:style w:type="table" w:customStyle="1" w:styleId="-410">
    <w:name w:val="Список-таблица 4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sz w:val="22"/>
      </w:rPr>
      <w:tblPr/>
      <w:tcPr>
        <w:shd w:val="clear" w:color="5B9BD5" w:fill="5B9BD5"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1" w:themeFillTint="40"/>
      </w:tcPr>
    </w:tblStylePr>
    <w:tblStylePr w:type="band1Horz">
      <w:rPr>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sz w:val="22"/>
      </w:rPr>
      <w:tblPr/>
      <w:tcPr>
        <w:shd w:val="clear" w:color="4472C4" w:fill="4472C4"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5" w:themeFillTint="40"/>
      </w:tcPr>
    </w:tblStylePr>
    <w:tblStylePr w:type="band1Horz">
      <w:rPr>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themeColor="light1"/>
        <w:sz w:val="22"/>
      </w:rPr>
      <w:tblPr/>
    </w:tblStylePr>
    <w:tblStylePr w:type="firstCol">
      <w:rPr>
        <w:b/>
        <w:color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themeColor="light1"/>
        <w:sz w:val="22"/>
      </w:rPr>
      <w:tblPr/>
    </w:tblStylePr>
    <w:tblStylePr w:type="firstCol">
      <w:rPr>
        <w:b/>
        <w:color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7F7F7F" w:themeColor="text1" w:sz="4" w:space="0"/>
        </w:tcBorders>
      </w:tcPr>
    </w:tblStylePr>
    <w:tblStylePr w:type="lastRow">
      <w:rPr>
        <w:b/>
        <w:color w:themeColor="text1"/>
      </w:rPr>
      <w:tblPr/>
      <w:tcPr>
        <w:tcBorders>
          <w:top w:val="single" w:color="7F7F7F"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5B9BD5" w:themeColor="accent1" w:sz="4" w:space="0"/>
        <w:bottom w:val="single" w:color="5B9BD5" w:themeColor="accent1" w:sz="4" w:space="0"/>
      </w:tblBorders>
    </w:tblPr>
    <w:tblStylePr w:type="firstRow">
      <w:rPr>
        <w:b/>
        <w:color w:themeColor="accent1" w:themeShade="95"/>
      </w:rPr>
      <w:tblPr/>
      <w:tcPr>
        <w:tcBorders>
          <w:bottom w:val="single" w:color="5B9BD5" w:themeColor="accent1" w:sz="4" w:space="0"/>
        </w:tcBorders>
      </w:tcPr>
    </w:tblStylePr>
    <w:tblStylePr w:type="lastRow">
      <w:rPr>
        <w:b/>
        <w:color w:themeColor="accent1" w:themeShade="95"/>
      </w:rPr>
      <w:tblPr/>
      <w:tcPr>
        <w:tcBorders>
          <w:top w:val="single" w:color="5B9BD5"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D5E5F4" w:fill="D5E5F4" w:themeFill="accent1" w:themeFillTint="40"/>
      </w:tcPr>
    </w:tblStylePr>
    <w:tblStylePr w:type="band1Horz">
      <w:rPr>
        <w:color w:themeColor="accent1" w:themeShade="95"/>
        <w:sz w:val="22"/>
      </w:rPr>
      <w:tblPr/>
      <w:tcPr>
        <w:shd w:val="clear" w:color="D5E5F4" w:fill="D5E5F4"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F4B184" w:themeColor="accent2" w:sz="4" w:space="0"/>
        </w:tcBorders>
      </w:tcPr>
    </w:tblStylePr>
    <w:tblStylePr w:type="lastRow">
      <w:rPr>
        <w:b/>
        <w:color w:themeColor="accent2" w:themeTint="97" w:themeShade="95"/>
      </w:rPr>
      <w:tblPr/>
      <w:tcPr>
        <w:tcBorders>
          <w:top w:val="single" w:color="F4B184"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C9C9C9" w:themeColor="accent3" w:sz="4" w:space="0"/>
        </w:tcBorders>
      </w:tcPr>
    </w:tblStylePr>
    <w:tblStylePr w:type="lastRow">
      <w:rPr>
        <w:b/>
        <w:color w:themeColor="accent3" w:themeTint="98" w:themeShade="95"/>
      </w:rPr>
      <w:tblPr/>
      <w:tcPr>
        <w:tcBorders>
          <w:top w:val="single" w:color="C9C9C9"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D865" w:themeColor="accent4" w:sz="4" w:space="0"/>
        </w:tcBorders>
      </w:tcPr>
    </w:tblStylePr>
    <w:tblStylePr w:type="lastRow">
      <w:rPr>
        <w:b/>
        <w:color w:themeColor="accent4" w:themeTint="9a" w:themeShade="95"/>
      </w:rPr>
      <w:tblPr/>
      <w:tcPr>
        <w:tcBorders>
          <w:top w:val="single" w:color="FFD865"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themeColor="accent5" w:themeTint="9a" w:themeShade="95"/>
      </w:rPr>
      <w:tblPr/>
      <w:tcPr>
        <w:tcBorders>
          <w:bottom w:val="single" w:color="8DA9DB" w:themeColor="accent5" w:sz="4" w:space="0"/>
        </w:tcBorders>
      </w:tcPr>
    </w:tblStylePr>
    <w:tblStylePr w:type="lastRow">
      <w:rPr>
        <w:b/>
        <w:color w:themeColor="accent5" w:themeTint="9a" w:themeShade="95"/>
      </w:rPr>
      <w:tblPr/>
      <w:tcPr>
        <w:tcBorders>
          <w:top w:val="single" w:color="8DA9DB"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CFDBF0" w:fill="CFDBF0" w:themeFill="accent5" w:themeFillTint="40"/>
      </w:tcPr>
    </w:tblStylePr>
    <w:tblStylePr w:type="band1Horz">
      <w:rPr>
        <w:color w:themeColor="accent5" w:themeTint="9a" w:themeShade="95"/>
        <w:sz w:val="22"/>
      </w:rPr>
      <w:tblPr/>
      <w:tcPr>
        <w:shd w:val="clear" w:color="CFDBF0" w:fill="CFDBF0"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A9D08E" w:themeColor="accent6" w:sz="4" w:space="0"/>
        </w:tcBorders>
      </w:tcPr>
    </w:tblStylePr>
    <w:tblStylePr w:type="lastRow">
      <w:rPr>
        <w:b/>
        <w:color w:themeColor="accent6" w:themeTint="98" w:themeShade="95"/>
      </w:rPr>
      <w:tblPr/>
      <w:tcPr>
        <w:tcBorders>
          <w:top w:val="single" w:color="A9D08E"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710">
    <w:name w:val="Список-таблица 7 цветная1"/>
    <w:basedOn w:val="a1"/>
    <w:uiPriority w:val="99"/>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5B9BD5" w:themeColor="accent1" w:sz="4" w:space="0"/>
      </w:tblBorders>
    </w:tblPr>
    <w:tblStylePr w:type="firstRow">
      <w:rPr>
        <w:i/>
        <w:color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FFFFFF" w:fill="FFFFFF" w:themeFill="light1"/>
      </w:tcPr>
    </w:tblStylePr>
    <w:tblStylePr w:type="lastRow">
      <w:rPr>
        <w:i/>
        <w:color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FFFFFF" w:fill="auto"/>
      </w:tcPr>
    </w:tblStylePr>
    <w:tblStylePr w:type="lastCol">
      <w:rPr>
        <w:i/>
        <w:color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FFFFFF" w:fill="auto"/>
      </w:tcPr>
    </w:tblStylePr>
    <w:tblStylePr w:type="band1Vert">
      <w:tblPr/>
      <w:tcPr>
        <w:shd w:val="clear" w:color="D5E5F4" w:fill="D5E5F4" w:themeFill="accent1" w:themeFillTint="40"/>
      </w:tcPr>
    </w:tblStylePr>
    <w:tblStylePr w:type="band1Horz">
      <w:rPr>
        <w:color w:themeColor="accent1" w:themeShade="95"/>
        <w:sz w:val="22"/>
      </w:rPr>
      <w:tblPr/>
      <w:tcPr>
        <w:shd w:val="clear" w:color="D5E5F4" w:fill="D5E5F4"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8DA9DB" w:themeColor="accent5" w:themeTint="9a" w:sz="4" w:space="0"/>
      </w:tblBorders>
    </w:tblPr>
    <w:tblStylePr w:type="firstRow">
      <w:rPr>
        <w:i/>
        <w:color w:themeColor="accent5" w:themeTint="9a" w:themeShade="95"/>
        <w:sz w:val="22"/>
      </w:rPr>
      <w:tblPr/>
      <w:tcPr>
        <w:tcBorders>
          <w:top w:val="none" w:color="auto" w:sz="0" w:space="0"/>
          <w:left w:val="none" w:color="auto" w:sz="0" w:space="0"/>
          <w:bottom w:val="single" w:color="8DA9DB" w:themeColor="accent5" w:sz="4" w:space="0"/>
          <w:right w:val="none" w:color="auto" w:sz="0" w:space="0"/>
        </w:tcBorders>
        <w:shd w:val="clear" w:color="FFFFFF" w:fill="FFFFFF" w:themeFill="light1"/>
      </w:tcPr>
    </w:tblStylePr>
    <w:tblStylePr w:type="lastRow">
      <w:rPr>
        <w:i/>
        <w:color w:themeColor="accent5" w:themeTint="9a" w:themeShade="95"/>
        <w:sz w:val="22"/>
      </w:rPr>
      <w:tblPr/>
      <w:tcPr>
        <w:tcBorders>
          <w:top w:val="single" w:color="8DA9DB"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Tint="9a" w:themeShade="95"/>
        <w:sz w:val="22"/>
      </w:rPr>
      <w:tblPr/>
      <w:tcPr>
        <w:tcBorders>
          <w:top w:val="none" w:color="auto" w:sz="0" w:space="0"/>
          <w:left w:val="none" w:color="auto" w:sz="0" w:space="0"/>
          <w:bottom w:val="none" w:color="auto" w:sz="0" w:space="0"/>
          <w:right w:val="single" w:color="8DA9DB" w:themeColor="accent5" w:sz="4" w:space="0"/>
        </w:tcBorders>
        <w:shd w:val="clear" w:color="FFFFFF" w:fill="auto"/>
      </w:tcPr>
    </w:tblStylePr>
    <w:tblStylePr w:type="lastCol">
      <w:rPr>
        <w:i/>
        <w:color w:themeColor="accent5" w:themeTint="9a" w:themeShade="95"/>
        <w:sz w:val="22"/>
      </w:rPr>
      <w:tblPr/>
      <w:tcPr>
        <w:tcBorders>
          <w:top w:val="none" w:color="auto" w:sz="0" w:space="0"/>
          <w:left w:val="single" w:color="8DA9DB" w:themeColor="accent5" w:sz="4" w:space="0"/>
          <w:bottom w:val="none" w:color="auto" w:sz="0" w:space="0"/>
          <w:right w:val="none" w:color="auto" w:sz="0" w:space="0"/>
        </w:tcBorders>
        <w:shd w:val="clear" w:color="FFFFFF" w:fill="auto"/>
      </w:tcPr>
    </w:tblStylePr>
    <w:tblStylePr w:type="band1Vert">
      <w:tblPr/>
      <w:tcPr>
        <w:shd w:val="clear" w:color="CFDBF0" w:fill="CFDBF0" w:themeFill="accent5" w:themeFillTint="40"/>
      </w:tcPr>
    </w:tblStylePr>
    <w:tblStylePr w:type="band1Horz">
      <w:rPr>
        <w:color w:themeColor="accent5" w:themeTint="9a" w:themeShade="95"/>
        <w:sz w:val="22"/>
      </w:rPr>
      <w:tblPr/>
      <w:tcPr>
        <w:shd w:val="clear" w:color="CFDBF0" w:fill="CFDBF0"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rPr/>
    <w:tblPr>
      <w:tblStyleRowBandSize w:val="1"/>
      <w:tblStyleColBandSize w:val="1"/>
    </w:tblPr>
    <w:tblStylePr w:type="firstRow">
      <w:rPr>
        <w:sz w:val="22"/>
      </w:rPr>
      <w:tblPr/>
      <w:tcPr>
        <w:shd w:val="clear" w:color="68A2D8" w:fill="68A2D8" w:themeFill="accent1" w:themeFillTint="ea"/>
      </w:tcPr>
    </w:tblStylePr>
    <w:tblStylePr w:type="lastRow">
      <w:rPr>
        <w:sz w:val="22"/>
      </w:rPr>
      <w:tblPr/>
      <w:tcPr>
        <w:shd w:val="clear" w:color="68A2D8" w:fill="68A2D8" w:themeFill="accent1" w:themeFillTint="ea"/>
      </w:tcPr>
    </w:tblStylePr>
    <w:tblStylePr w:type="firstCol">
      <w:rPr>
        <w:sz w:val="22"/>
      </w:rPr>
      <w:tblPr/>
      <w:tcPr>
        <w:shd w:val="clear" w:color="68A2D8" w:fill="68A2D8" w:themeFill="accent1" w:themeFillTint="ea"/>
      </w:tcPr>
    </w:tblStylePr>
    <w:tblStylePr w:type="lastCol">
      <w:rPr>
        <w:sz w:val="22"/>
      </w:rPr>
      <w:tblPr/>
      <w:tcPr>
        <w:shd w:val="clear" w:color="68A2D8" w:fill="68A2D8" w:themeFill="accent1" w:themeFillTint="ea"/>
      </w:tcPr>
    </w:tblStylePr>
    <w:tblStylePr w:type="band1Vert">
      <w:rPr>
        <w:sz w:val="22"/>
      </w:rPr>
      <w:tblPr/>
    </w:tblStylePr>
    <w:tblStylePr w:type="band2Vert">
      <w:rPr>
        <w:sz w:val="22"/>
      </w:rPr>
      <w:tblPr/>
      <w:tcPr>
        <w:shd w:val="clear" w:color="CBDFF1" w:fill="CBDFF1" w:themeFill="accent1" w:themeFillTint="50"/>
      </w:tcPr>
    </w:tblStylePr>
    <w:tblStylePr w:type="band1Horz">
      <w:rPr>
        <w:sz w:val="22"/>
      </w:rPr>
      <w:tblPr/>
    </w:tblStylePr>
    <w:tblStylePr w:type="band2Horz">
      <w:rPr>
        <w:sz w:val="22"/>
      </w:rPr>
      <w:tblPr/>
      <w:tcPr>
        <w:shd w:val="clear" w:color="CBDFF1" w:fill="CBDFF1" w:themeFill="accent1" w:themeFillTint="50"/>
      </w:tcPr>
    </w:tblStylePr>
  </w:style>
  <w:style w:type="table" w:customStyle="1" w:styleId="Lined-Accent2">
    <w:name w:val="Lined - Accent 2"/>
    <w:basedOn w:val="a1"/>
    <w:uiPriority w:val="99"/>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tblPr>
      <w:tblStyleRowBandSize w:val="1"/>
      <w:tblStyleColBandSize w:val="1"/>
    </w:tblPr>
    <w:tblStylePr w:type="firstRow">
      <w:rPr>
        <w:sz w:val="22"/>
      </w:rPr>
      <w:tblPr/>
      <w:tcPr>
        <w:shd w:val="clear" w:color="4472C4" w:fill="4472C4" w:themeFill="accent5"/>
      </w:tcPr>
    </w:tblStylePr>
    <w:tblStylePr w:type="lastRow">
      <w:rPr>
        <w:sz w:val="22"/>
      </w:rPr>
      <w:tblPr/>
      <w:tcPr>
        <w:shd w:val="clear" w:color="4472C4" w:fill="4472C4" w:themeFill="accent5"/>
      </w:tcPr>
    </w:tblStylePr>
    <w:tblStylePr w:type="firstCol">
      <w:rPr>
        <w:sz w:val="22"/>
      </w:rPr>
      <w:tblPr/>
      <w:tcPr>
        <w:shd w:val="clear" w:color="4472C4" w:fill="4472C4" w:themeFill="accent5"/>
      </w:tcPr>
    </w:tblStylePr>
    <w:tblStylePr w:type="lastCol">
      <w:rPr>
        <w:sz w:val="22"/>
      </w:rPr>
      <w:tblPr/>
      <w:tcPr>
        <w:shd w:val="clear" w:color="4472C4" w:fill="4472C4" w:themeFill="accent5"/>
      </w:tcPr>
    </w:tblStylePr>
    <w:tblStylePr w:type="band1Vert">
      <w:rPr>
        <w:sz w:val="22"/>
      </w:rPr>
      <w:tblPr/>
    </w:tblStylePr>
    <w:tblStylePr w:type="band2Vert">
      <w:rPr>
        <w:sz w:val="22"/>
      </w:rPr>
      <w:tblPr/>
      <w:tcPr>
        <w:shd w:val="clear" w:color="D8E2F3" w:fill="D8E2F3" w:themeFill="accent5" w:themeFillTint="34"/>
      </w:tcPr>
    </w:tblStylePr>
    <w:tblStylePr w:type="band1Horz">
      <w:rPr>
        <w:sz w:val="22"/>
      </w:rPr>
      <w:tblPr/>
    </w:tblStylePr>
    <w:tblStylePr w:type="band2Horz">
      <w:rPr>
        <w:sz w:val="22"/>
      </w:rPr>
      <w:tblPr/>
      <w:tcPr>
        <w:shd w:val="clear" w:color="D8E2F3" w:fill="D8E2F3" w:themeFill="accent5" w:themeFillTint="34"/>
      </w:tcPr>
    </w:tblStylePr>
  </w:style>
  <w:style w:type="table" w:customStyle="1" w:styleId="Lined-Accent6">
    <w:name w:val="Lined - Accent 6"/>
    <w:basedOn w:val="a1"/>
    <w:uiPriority w:val="99"/>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sz w:val="22"/>
      </w:rPr>
      <w:tblPr/>
      <w:tcPr>
        <w:shd w:val="clear" w:color="68A2D8" w:fill="68A2D8" w:themeFill="accent1" w:themeFillTint="ea"/>
      </w:tcPr>
    </w:tblStylePr>
    <w:tblStylePr w:type="lastRow">
      <w:rPr>
        <w:sz w:val="22"/>
      </w:rPr>
      <w:tblPr/>
      <w:tcPr>
        <w:shd w:val="clear" w:color="68A2D8" w:fill="68A2D8" w:themeFill="accent1" w:themeFillTint="ea"/>
      </w:tcPr>
    </w:tblStylePr>
    <w:tblStylePr w:type="firstCol">
      <w:rPr>
        <w:sz w:val="22"/>
      </w:rPr>
      <w:tblPr/>
      <w:tcPr>
        <w:shd w:val="clear" w:color="68A2D8" w:fill="68A2D8" w:themeFill="accent1" w:themeFillTint="ea"/>
      </w:tcPr>
    </w:tblStylePr>
    <w:tblStylePr w:type="lastCol">
      <w:rPr>
        <w:sz w:val="22"/>
      </w:rPr>
      <w:tblPr/>
      <w:tcPr>
        <w:shd w:val="clear" w:color="68A2D8" w:fill="68A2D8" w:themeFill="accent1" w:themeFillTint="ea"/>
      </w:tcPr>
    </w:tblStylePr>
    <w:tblStylePr w:type="band1Vert">
      <w:rPr>
        <w:sz w:val="22"/>
      </w:rPr>
      <w:tblPr/>
    </w:tblStylePr>
    <w:tblStylePr w:type="band2Vert">
      <w:rPr>
        <w:sz w:val="22"/>
      </w:rPr>
      <w:tblPr/>
      <w:tcPr>
        <w:shd w:val="clear" w:color="CBDFF1" w:fill="CBDFF1" w:themeFill="accent1" w:themeFillTint="50"/>
      </w:tcPr>
    </w:tblStylePr>
    <w:tblStylePr w:type="band1Horz">
      <w:rPr>
        <w:sz w:val="22"/>
      </w:rPr>
      <w:tblPr/>
    </w:tblStylePr>
    <w:tblStylePr w:type="band2Horz">
      <w:rPr>
        <w:sz w:val="22"/>
      </w:rPr>
      <w:tblPr/>
      <w:tcPr>
        <w:shd w:val="clear" w:color="CBDFF1" w:fill="CBDFF1" w:themeFill="accent1" w:themeFillTint="50"/>
      </w:tcPr>
    </w:tblStylePr>
  </w:style>
  <w:style w:type="table" w:customStyle="1" w:styleId="BorderedLined-Accent2">
    <w:name w:val="Bordered &amp; Lined - Accent 2"/>
    <w:basedOn w:val="a1"/>
    <w:uiPriority w:val="99"/>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sz w:val="22"/>
      </w:rPr>
      <w:tblPr/>
      <w:tcPr>
        <w:shd w:val="clear" w:color="4472C4" w:fill="4472C4" w:themeFill="accent5"/>
      </w:tcPr>
    </w:tblStylePr>
    <w:tblStylePr w:type="lastRow">
      <w:rPr>
        <w:sz w:val="22"/>
      </w:rPr>
      <w:tblPr/>
      <w:tcPr>
        <w:shd w:val="clear" w:color="4472C4" w:fill="4472C4" w:themeFill="accent5"/>
      </w:tcPr>
    </w:tblStylePr>
    <w:tblStylePr w:type="firstCol">
      <w:rPr>
        <w:sz w:val="22"/>
      </w:rPr>
      <w:tblPr/>
      <w:tcPr>
        <w:shd w:val="clear" w:color="4472C4" w:fill="4472C4" w:themeFill="accent5"/>
      </w:tcPr>
    </w:tblStylePr>
    <w:tblStylePr w:type="lastCol">
      <w:rPr>
        <w:sz w:val="22"/>
      </w:rPr>
      <w:tblPr/>
      <w:tcPr>
        <w:shd w:val="clear" w:color="4472C4" w:fill="4472C4" w:themeFill="accent5"/>
      </w:tcPr>
    </w:tblStylePr>
    <w:tblStylePr w:type="band1Vert">
      <w:rPr>
        <w:sz w:val="22"/>
      </w:rPr>
      <w:tblPr/>
    </w:tblStylePr>
    <w:tblStylePr w:type="band2Vert">
      <w:rPr>
        <w:sz w:val="22"/>
      </w:rPr>
      <w:tblPr/>
      <w:tcPr>
        <w:shd w:val="clear" w:color="D8E2F3" w:fill="D8E2F3" w:themeFill="accent5" w:themeFillTint="34"/>
      </w:tcPr>
    </w:tblStylePr>
    <w:tblStylePr w:type="band1Horz">
      <w:rPr>
        <w:sz w:val="22"/>
      </w:rPr>
      <w:tblPr/>
    </w:tblStylePr>
    <w:tblStylePr w:type="band2Horz">
      <w:rPr>
        <w:sz w:val="22"/>
      </w:rPr>
      <w:tblPr/>
      <w:tcPr>
        <w:shd w:val="clear" w:color="D8E2F3" w:fill="D8E2F3" w:themeFill="accent5" w:themeFillTint="34"/>
      </w:tcPr>
    </w:tblStylePr>
  </w:style>
  <w:style w:type="table" w:customStyle="1" w:styleId="BorderedLined-Accent6">
    <w:name w:val="Bordered &amp; Lined - Accent 6"/>
    <w:basedOn w:val="a1"/>
    <w:uiPriority w:val="99"/>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7F7F7F" w:themeColor="text1" w:sz="12" w:space="0"/>
        </w:tcBorders>
      </w:tcPr>
    </w:tblStylePr>
    <w:tblStylePr w:type="lastRow">
      <w:rPr>
        <w:sz w:val="22"/>
      </w:rPr>
      <w:tblPr/>
      <w:tcPr>
        <w:tcBorders>
          <w:top w:val="single" w:color="7F7F7F" w:themeColor="text1" w:sz="12" w:space="0"/>
        </w:tcBorders>
      </w:tcPr>
    </w:tblStylePr>
    <w:tblStylePr w:type="firstCol">
      <w:rPr>
        <w:sz w:val="22"/>
      </w:rPr>
      <w:tblPr/>
    </w:tblStylePr>
    <w:tblStylePr w:type="lastCol">
      <w:rPr>
        <w:sz w:val="22"/>
      </w:rPr>
      <w:tblPr/>
      <w:tcPr>
        <w:tcBorders>
          <w:left w:val="single" w:color="7F7F7F" w:themeColor="text1" w:sz="12" w:space="0"/>
        </w:tcBorders>
      </w:tcPr>
    </w:tblStylePr>
    <w:tblStylePr w:type="band1Horz">
      <w:rPr>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sz w:val="22"/>
      </w:rPr>
      <w:tblPr/>
      <w:tcPr>
        <w:tcBorders>
          <w:bottom w:val="single" w:color="5B9BD5" w:themeColor="accent1" w:sz="12" w:space="0"/>
        </w:tcBorders>
      </w:tcPr>
    </w:tblStylePr>
    <w:tblStylePr w:type="lastRow">
      <w:rPr>
        <w:sz w:val="22"/>
      </w:rPr>
      <w:tblPr/>
      <w:tcPr>
        <w:tcBorders>
          <w:top w:val="single" w:color="5B9BD5" w:themeColor="accent1" w:sz="12" w:space="0"/>
        </w:tcBorders>
      </w:tcPr>
    </w:tblStylePr>
    <w:tblStylePr w:type="firstCol">
      <w:rPr>
        <w:sz w:val="22"/>
      </w:rPr>
      <w:tblPr/>
    </w:tblStylePr>
    <w:tblStylePr w:type="lastCol">
      <w:rPr>
        <w:sz w:val="22"/>
      </w:rPr>
      <w:tblPr/>
      <w:tcPr>
        <w:tcBorders>
          <w:left w:val="single" w:color="5B9BD5" w:themeColor="accent1" w:sz="12" w:space="0"/>
        </w:tcBorders>
      </w:tcPr>
    </w:tblStylePr>
    <w:tblStylePr w:type="band1Horz">
      <w:rPr>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F4B184" w:themeColor="accent2" w:sz="12" w:space="0"/>
        </w:tcBorders>
      </w:tcPr>
    </w:tblStylePr>
    <w:tblStylePr w:type="lastRow">
      <w:rPr>
        <w:sz w:val="22"/>
      </w:rPr>
      <w:tblPr/>
      <w:tcPr>
        <w:tcBorders>
          <w:top w:val="single" w:color="F4B184" w:themeColor="accent2" w:sz="12" w:space="0"/>
        </w:tcBorders>
      </w:tcPr>
    </w:tblStylePr>
    <w:tblStylePr w:type="firstCol">
      <w:rPr>
        <w:sz w:val="22"/>
      </w:rPr>
      <w:tblPr/>
    </w:tblStylePr>
    <w:tblStylePr w:type="lastCol">
      <w:rPr>
        <w:sz w:val="22"/>
      </w:rPr>
      <w:tblPr/>
      <w:tcPr>
        <w:tcBorders>
          <w:left w:val="single" w:color="F4B184" w:themeColor="accent2" w:sz="12" w:space="0"/>
        </w:tcBorders>
      </w:tcPr>
    </w:tblStylePr>
    <w:tblStylePr w:type="band1Horz">
      <w:rPr>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C9C9C9" w:themeColor="accent3" w:sz="12" w:space="0"/>
        </w:tcBorders>
      </w:tcPr>
    </w:tblStylePr>
    <w:tblStylePr w:type="lastRow">
      <w:rPr>
        <w:sz w:val="22"/>
      </w:rPr>
      <w:tblPr/>
      <w:tcPr>
        <w:tcBorders>
          <w:top w:val="single" w:color="C9C9C9" w:themeColor="accent3" w:sz="12" w:space="0"/>
        </w:tcBorders>
      </w:tcPr>
    </w:tblStylePr>
    <w:tblStylePr w:type="firstCol">
      <w:rPr>
        <w:sz w:val="22"/>
      </w:rPr>
      <w:tblPr/>
    </w:tblStylePr>
    <w:tblStylePr w:type="lastCol">
      <w:rPr>
        <w:sz w:val="22"/>
      </w:rPr>
      <w:tblPr/>
      <w:tcPr>
        <w:tcBorders>
          <w:left w:val="single" w:color="C9C9C9" w:themeColor="accent3" w:sz="12" w:space="0"/>
        </w:tcBorders>
      </w:tcPr>
    </w:tblStylePr>
    <w:tblStylePr w:type="band1Horz">
      <w:rPr>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D865" w:themeColor="accent4" w:sz="12" w:space="0"/>
        </w:tcBorders>
      </w:tcPr>
    </w:tblStylePr>
    <w:tblStylePr w:type="lastRow">
      <w:rPr>
        <w:sz w:val="22"/>
      </w:rPr>
      <w:tblPr/>
      <w:tcPr>
        <w:tcBorders>
          <w:top w:val="single" w:color="FFD865" w:themeColor="accent4" w:sz="12" w:space="0"/>
        </w:tcBorders>
      </w:tcPr>
    </w:tblStylePr>
    <w:tblStylePr w:type="firstCol">
      <w:rPr>
        <w:sz w:val="22"/>
      </w:rPr>
      <w:tblPr/>
    </w:tblStylePr>
    <w:tblStylePr w:type="lastCol">
      <w:rPr>
        <w:sz w:val="22"/>
      </w:rPr>
      <w:tblPr/>
      <w:tcPr>
        <w:tcBorders>
          <w:left w:val="single" w:color="FFD865" w:themeColor="accent4" w:sz="12" w:space="0"/>
        </w:tcBorders>
      </w:tcPr>
    </w:tblStylePr>
    <w:tblStylePr w:type="band1Horz">
      <w:rPr>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sz w:val="22"/>
      </w:rPr>
      <w:tblPr/>
      <w:tcPr>
        <w:tcBorders>
          <w:bottom w:val="single" w:color="8DA9DB" w:themeColor="accent5" w:sz="12" w:space="0"/>
        </w:tcBorders>
      </w:tcPr>
    </w:tblStylePr>
    <w:tblStylePr w:type="lastRow">
      <w:rPr>
        <w:sz w:val="22"/>
      </w:rPr>
      <w:tblPr/>
      <w:tcPr>
        <w:tcBorders>
          <w:top w:val="single" w:color="8DA9DB" w:themeColor="accent5" w:sz="12" w:space="0"/>
        </w:tcBorders>
      </w:tcPr>
    </w:tblStylePr>
    <w:tblStylePr w:type="firstCol">
      <w:rPr>
        <w:sz w:val="22"/>
      </w:rPr>
      <w:tblPr/>
    </w:tblStylePr>
    <w:tblStylePr w:type="lastCol">
      <w:rPr>
        <w:sz w:val="22"/>
      </w:rPr>
      <w:tblPr/>
      <w:tcPr>
        <w:tcBorders>
          <w:left w:val="single" w:color="8DA9DB" w:themeColor="accent5" w:sz="12" w:space="0"/>
        </w:tcBorders>
      </w:tcPr>
    </w:tblStylePr>
    <w:tblStylePr w:type="band1Horz">
      <w:rPr>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A9D08E" w:themeColor="accent6" w:sz="12" w:space="0"/>
        </w:tcBorders>
      </w:tcPr>
    </w:tblStylePr>
    <w:tblStylePr w:type="lastRow">
      <w:rPr>
        <w:sz w:val="22"/>
      </w:rPr>
      <w:tblPr/>
      <w:tcPr>
        <w:tcBorders>
          <w:top w:val="single" w:color="A9D08E" w:themeColor="accent6" w:sz="12" w:space="0"/>
        </w:tcBorders>
      </w:tcPr>
    </w:tblStylePr>
    <w:tblStylePr w:type="firstCol">
      <w:rPr>
        <w:sz w:val="22"/>
      </w:rPr>
      <w:tblPr/>
    </w:tblStylePr>
    <w:tblStylePr w:type="lastCol">
      <w:rPr>
        <w:sz w:val="22"/>
      </w:rPr>
      <w:tblPr/>
      <w:tcPr>
        <w:tcBorders>
          <w:left w:val="single" w:color="A9D08E" w:themeColor="accent6" w:sz="12" w:space="0"/>
        </w:tcBorders>
      </w:tcPr>
    </w:tblStylePr>
    <w:tblStylePr w:type="band1Horz">
      <w:rPr>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4">
    <w:name w:val="Table Grid"/>
    <w:basedOn w:val="a1"/>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https://mintrud.gov.ru/ministry/programms/anticorruption/9/instruktivno-metodicheskie-materialy-po-fz" TargetMode="External"/><Relationship Id="rId4" Type="http://schemas.openxmlformats.org/officeDocument/2006/relationships/hyperlink" Target="consultantplus://offline/ref=C9E7374AA1332C6CF9FF0059DC9BC42D7E0C4094E90E8D4E87A0DE0B00JBsBL" TargetMode="External"/><Relationship Id="rId5" Type="http://schemas.openxmlformats.org/officeDocument/2006/relationships/hyperlink" Target="consultantplus://offline/ref=176F7DE9F43BBC5D4BD135AAE1CAD04D0FAF9650A130B33DA87DA13E97FAF95DCF18F97FDC1FE2FAH7g2M" TargetMode="External"/><Relationship Id="rId6" Type="http://schemas.openxmlformats.org/officeDocument/2006/relationships/hyperlink" Target="consultantplus://offline/ref=7F2EEDDD06F168B694690D2DE649735BC9E53CBFC16FEC31087E4E96CAJ2nFL" TargetMode="External"/><Relationship Id="rId7" Type="http://schemas.openxmlformats.org/officeDocument/2006/relationships/hyperlink" Target="consultantplus://offline/ref=3743F552A0D416E80BEAF690826125BB530BB097B6A5A5C17137C1E72FF3E91DCF3284BA9D2A6279g3rBM" TargetMode="External"/><Relationship Id="rId8" Type="http://schemas.openxmlformats.org/officeDocument/2006/relationships/hyperlink" Target="consultantplus://offline/ref=7F2EEDDD06F168B694690D2DE649735BC9E53CBFC16FEC31087E4E96CAJ2nFL" TargetMode="External"/><Relationship Id="rId9" Type="http://schemas.openxmlformats.org/officeDocument/2006/relationships/hyperlink" Target="consultantplus://offline/ref=33E7B6DD529722622844D6F9EBC8DBA03B3FAEDA9118A1613233FFF35FCD6ECFCAED66496D73EC2Di9vDO" TargetMode="External"/><Relationship Id="rId10" Type="http://schemas.openxmlformats.org/officeDocument/2006/relationships/hyperlink" Target="https://mintrud.gov.ru/ministry/programms/anticorruption/9/23" TargetMode="External"/><Relationship Id="rId11" Type="http://schemas.openxmlformats.org/officeDocument/2006/relationships/hyperlink" Target="https://mintrud.gov.ru/ministry/programms/anticorruption/9/23" TargetMode="External"/><Relationship Id="rId12" Type="http://schemas.openxmlformats.org/officeDocument/2006/relationships/hyperlink" Target="https://mintrud.gov.ru/ministry/programms/anticorruption/9/23" TargetMode="External"/><Relationship Id="rId13" Type="http://schemas.openxmlformats.org/officeDocument/2006/relationships/hyperlink" Target="https://mintrud.gov.ru/ministry/programms/anticorruption/9/24" TargetMode="External"/><Relationship Id="rId14" Type="http://schemas.openxmlformats.org/officeDocument/2006/relationships/hyperlink" Target="http://www.kremlin.ru/structure/additional/12" TargetMode="External"/><Relationship Id="rId15" Type="http://schemas.openxmlformats.org/officeDocument/2006/relationships/hyperlink" Target="https://gossluzhba.gov.ru/anticorruption/spravki_bk" TargetMode="External"/><Relationship Id="rId16" Type="http://schemas.openxmlformats.org/officeDocument/2006/relationships/hyperlink" Target="https://www.cbr.ru/currency_base/daily/" TargetMode="External"/><Relationship Id="rId17" Type="http://schemas.openxmlformats.org/officeDocument/2006/relationships/hyperlink" Target="https://mintrud.gov.ru/docs/1872" TargetMode="External"/><Relationship Id="rId18" Type="http://schemas.openxmlformats.org/officeDocument/2006/relationships/hyperlink" Target="https://lk.rosreestr.ru/eservices/real-estate-objects-online" TargetMode="External"/><Relationship Id="rId19" Type="http://schemas.openxmlformats.org/officeDocument/2006/relationships/hyperlink" Target="https://www.gibdd.ru/r/77/contacts/div1145039/" TargetMode="External"/><Relationship Id="rId20" Type="http://schemas.openxmlformats.org/officeDocument/2006/relationships/hyperlink" Target="https://www.gibdd.ru/r/66/contacts/div1165058/" TargetMode="External"/><Relationship Id="rId21" Type="http://schemas.openxmlformats.org/officeDocument/2006/relationships/hyperlink" Target="https://www.gibdd.ru/r/66/contacts/div1165043/" TargetMode="External"/><Relationship Id="rId22" Type="http://schemas.openxmlformats.org/officeDocument/2006/relationships/hyperlink" Target="https://cbr.ru/vfs/registers/infr/list_OIS.xlsx" TargetMode="External"/><Relationship Id="rId23" Type="http://schemas.openxmlformats.org/officeDocument/2006/relationships/hyperlink" Target="https://cbr.ru/vfs/registers/infr/list_invest_platform_op.xlsx" TargetMode="External"/><Relationship Id="rId24" Type="http://schemas.openxmlformats.org/officeDocument/2006/relationships/hyperlink" Target="https://www.cbr.ru/hd_base/metall/metall_base_new/" TargetMode="External"/><Relationship Id="rId25" Type="http://schemas.openxmlformats.org/officeDocument/2006/relationships/hyperlink" Target="https://www.nalog.ru/rn77/related_activities/accounting/bank_account/" TargetMode="External"/><Relationship Id="rId26" Type="http://schemas.openxmlformats.org/officeDocument/2006/relationships/hyperlink" Target="https://www.cbr.ru/banking_sector/likvidbase/" TargetMode="External"/><Relationship Id="rId27" Type="http://schemas.openxmlformats.org/officeDocument/2006/relationships/hyperlink" Target="https://mintrud.gov.ru/ministry/programms/anticorruption/9/21" TargetMode="External"/><Relationship Id="rId28" Type="http://schemas.openxmlformats.org/officeDocument/2006/relationships/hyperlink" Target="https://www.cbr.ru/currency_base/daily/" TargetMode="External"/><Relationship Id="rId29" Type="http://schemas.openxmlformats.org/officeDocument/2006/relationships/header" Target="header1.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Arial" pitchFamily="0" charset="1"/>
        <a:cs typeface="Arial" pitchFamily="0" charset="1"/>
      </a:majorFont>
      <a:minorFont>
        <a:latin typeface="Calibri" pitchFamily="0" charset="1"/>
        <a:ea typeface="Arial" pitchFamily="0" charset="1"/>
        <a:cs typeface="Arial" pitchFamily="0" charset="1"/>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30B7-A048-4CAA-BA11-82BBAF761B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LibreOffice/7.6.4.1$Windows_X86_64 LibreOffice_project/e19e193f88cd6c0525a17fb7a176ed8e6a3e2aa1</Application>
  <AppVersion>15.0000</AppVersion>
  <Pages>68</Pages>
  <Words>23550</Words>
  <Characters>165976</Characters>
  <CharactersWithSpaces>188674</CharactersWithSpaces>
  <Paragraphs>743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2024-02-14T07:31:00Z</dcterms:created>
  <dc:creator>KovalkovaEA</dc:creator>
  <dc:description/>
  <dc:language>ru-RU</dc:language>
  <cp:lastModifiedBy/>
  <cp:lastPrinted>2024-04-03T14:19:19Z</cp:lastPrinted>
  <dcterms:modified xsi:type="dcterms:W3CDTF">2024-04-03T14:23:08Z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